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pPr>
      <w:bookmarkStart w:id="0" w:name="_Hlk213915983"/>
      <w:commentRangeStart w:id="0"/>
      <w:r>
        <w:rPr>
          <w:rFonts w:cs="Arial"/>
          <w:b/>
          <w:sz w:val="32"/>
          <w:szCs w:val="32"/>
        </w:rPr>
        <w:t>OBCHODNÍ PODMÍNKY</w:t>
      </w:r>
    </w:p>
    <w:p>
      <w:pPr>
        <w:pStyle w:val="Normal"/>
        <w:tabs>
          <w:tab w:val="clear" w:pos="709"/>
          <w:tab w:val="left" w:pos="426" w:leader="none"/>
          <w:tab w:val="left" w:pos="851" w:leader="none"/>
          <w:tab w:val="left" w:pos="1276" w:leader="none"/>
        </w:tabs>
        <w:jc w:val="center"/>
        <w:rPr/>
      </w:pPr>
      <w:r>
        <w:rPr>
          <w:rFonts w:cs="Arial"/>
          <w:b/>
          <w:sz w:val="32"/>
          <w:szCs w:val="32"/>
        </w:rPr>
        <w:t>(návrh Smlouvy</w:t>
      </w:r>
      <w:r>
        <w:rPr>
          <w:rFonts w:eastAsia="Arial" w:cs="Arial"/>
          <w:b/>
          <w:sz w:val="32"/>
          <w:szCs w:val="32"/>
        </w:rPr>
        <w:t xml:space="preserve"> </w:t>
      </w:r>
      <w:r>
        <w:rPr>
          <w:rFonts w:cs="Arial"/>
          <w:b/>
          <w:sz w:val="32"/>
          <w:szCs w:val="32"/>
        </w:rPr>
        <w:t>o</w:t>
      </w:r>
      <w:r>
        <w:rPr>
          <w:rFonts w:eastAsia="Arial" w:cs="Arial"/>
          <w:b/>
          <w:sz w:val="32"/>
          <w:szCs w:val="32"/>
        </w:rPr>
        <w:t xml:space="preserve"> </w:t>
      </w:r>
      <w:r>
        <w:rPr>
          <w:rFonts w:cs="Arial"/>
          <w:b/>
          <w:sz w:val="32"/>
          <w:szCs w:val="32"/>
        </w:rPr>
        <w:t>dílo)</w:t>
      </w:r>
      <w:r>
        <w:rPr>
          <w:rFonts w:eastAsia="Arial" w:cs="Arial"/>
          <w:b/>
          <w:sz w:val="32"/>
          <w:szCs w:val="32"/>
        </w:rPr>
        <w:t xml:space="preserve">    </w:t>
      </w:r>
      <w:bookmarkEnd w:id="0"/>
    </w:p>
    <w:p>
      <w:pPr>
        <w:pStyle w:val="Normal"/>
        <w:tabs>
          <w:tab w:val="clear" w:pos="709"/>
          <w:tab w:val="left" w:pos="426" w:leader="none"/>
          <w:tab w:val="left" w:pos="851" w:leader="none"/>
          <w:tab w:val="left" w:pos="1134" w:leader="none"/>
        </w:tabs>
        <w:jc w:val="both"/>
        <w:rPr>
          <w:rFonts w:eastAsia="Arial" w:cs="Arial"/>
          <w:b/>
          <w:b/>
        </w:rPr>
      </w:pPr>
      <w:commentRangeEnd w:id="0"/>
      <w:r>
        <w:commentReference w:id="0"/>
      </w:r>
      <w:r>
        <w:rPr/>
      </w:r>
    </w:p>
    <w:p>
      <w:pPr>
        <w:pStyle w:val="Normal"/>
        <w:tabs>
          <w:tab w:val="clear" w:pos="709"/>
          <w:tab w:val="left" w:pos="426" w:leader="none"/>
          <w:tab w:val="left" w:pos="851" w:leader="none"/>
          <w:tab w:val="left" w:pos="1134" w:leader="none"/>
        </w:tabs>
        <w:jc w:val="both"/>
        <w:rPr>
          <w:rFonts w:eastAsia="Arial" w:cs="Arial"/>
          <w:b/>
          <w:b/>
        </w:rPr>
      </w:pPr>
      <w:r>
        <w:rPr>
          <w:rFonts w:eastAsia="Arial" w:cs="Arial"/>
          <w:b/>
        </w:rPr>
      </w:r>
    </w:p>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Michalem Šmardou</w:t>
      </w:r>
      <w:r>
        <w:rPr>
          <w:rFonts w:cs="Arial"/>
        </w:rPr>
        <w:t>, 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Mgr. Daniela Krejčí, vedoucí odboru investic</w:t>
      </w:r>
    </w:p>
    <w:p>
      <w:pPr>
        <w:pStyle w:val="Normal"/>
        <w:tabs>
          <w:tab w:val="clear" w:pos="709"/>
          <w:tab w:val="left" w:pos="426" w:leader="none"/>
          <w:tab w:val="left" w:pos="851" w:leader="none"/>
          <w:tab w:val="left" w:pos="1134" w:leader="none"/>
          <w:tab w:val="left" w:pos="4678" w:leader="none"/>
        </w:tabs>
        <w:jc w:val="both"/>
        <w:rPr/>
      </w:pPr>
      <w:r>
        <w:rPr>
          <w:rFonts w:eastAsia="Arial" w:cs="Arial"/>
        </w:rPr>
        <w:t xml:space="preserve">                                                                           </w:t>
      </w:r>
      <w:r>
        <w:rPr>
          <w:rFonts w:cs="Arial"/>
        </w:rPr>
        <w:tab/>
        <w:t>Ing. Jaroslava Slánská, referent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s>
        <w:jc w:val="both"/>
        <w:rPr/>
      </w:pPr>
      <w:r>
        <w:rPr>
          <w:rFonts w:cs="Arial"/>
        </w:rPr>
        <w:tab/>
        <w:t>bankovní spojení: Komerční banka, a.s.</w:t>
      </w:r>
    </w:p>
    <w:p>
      <w:pPr>
        <w:pStyle w:val="Normal"/>
        <w:tabs>
          <w:tab w:val="clear" w:pos="709"/>
          <w:tab w:val="left" w:pos="426" w:leader="none"/>
          <w:tab w:val="left" w:pos="851" w:leader="none"/>
          <w:tab w:val="left" w:pos="1134" w:leader="none"/>
        </w:tabs>
        <w:jc w:val="both"/>
        <w:rPr/>
      </w:pP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bookmarkStart w:id="1" w:name="_Hlk213916291"/>
      <w:bookmarkEnd w:id="1"/>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1"/>
      <w:r>
        <w:rPr>
          <w:rFonts w:cs="Arial"/>
          <w:highlight w:val="yellow"/>
        </w:rPr>
        <w:t>DPH.</w:t>
      </w:r>
      <w:bookmarkStart w:id="2" w:name="_Hlk213916358"/>
      <w:bookmarkEnd w:id="2"/>
      <w:commentRangeEnd w:id="1"/>
      <w:r>
        <w:commentReference w:id="1"/>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2"/>
      <w:r>
        <w:rPr>
          <w:rFonts w:cs="Arial"/>
          <w:highlight w:val="yellow"/>
        </w:rPr>
        <w:t>DPH.</w:t>
      </w:r>
      <w:r>
        <w:rPr>
          <w:rFonts w:cs="Arial"/>
          <w:highlight w:val="yellow"/>
        </w:rPr>
      </w:r>
      <w:commentRangeEnd w:id="2"/>
      <w:r>
        <w:commentReference w:id="2"/>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rFonts w:cs="Arial"/>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rFonts w:cs="Arial"/>
          <w:b/>
          <w:b/>
          <w:sz w:val="32"/>
          <w:szCs w:val="32"/>
          <w:highlight w:val="yellow"/>
        </w:rPr>
      </w:pPr>
      <w:r>
        <w:rPr>
          <w:rFonts w:cs="Arial"/>
          <w:b/>
          <w:sz w:val="32"/>
          <w:szCs w:val="32"/>
        </w:rPr>
        <w:t xml:space="preserve">Smlouvu o dílo č. </w:t>
      </w:r>
      <w:r>
        <w:rPr>
          <w:rFonts w:cs="Arial"/>
          <w:b/>
          <w:sz w:val="32"/>
          <w:szCs w:val="32"/>
          <w:highlight w:val="yellow"/>
        </w:rPr>
        <w:t>…………</w:t>
      </w:r>
    </w:p>
    <w:p>
      <w:pPr>
        <w:pStyle w:val="Normal"/>
        <w:tabs>
          <w:tab w:val="clear" w:pos="709"/>
          <w:tab w:val="left" w:pos="426" w:leader="none"/>
          <w:tab w:val="left" w:pos="851" w:leader="none"/>
          <w:tab w:val="left" w:pos="1134" w:leader="none"/>
        </w:tabs>
        <w:jc w:val="center"/>
        <w:rPr/>
      </w:pPr>
      <w:r>
        <w:rPr/>
      </w:r>
    </w:p>
    <w:p>
      <w:pPr>
        <w:pStyle w:val="Normal"/>
        <w:tabs>
          <w:tab w:val="clear" w:pos="709"/>
          <w:tab w:val="left" w:pos="426" w:leader="none"/>
          <w:tab w:val="left" w:pos="851" w:leader="none"/>
          <w:tab w:val="left" w:pos="1134" w:leader="none"/>
        </w:tabs>
        <w:jc w:val="center"/>
        <w:rPr/>
      </w:pPr>
      <w:r>
        <w:rPr/>
      </w:r>
    </w:p>
    <w:p>
      <w:pPr>
        <w:pStyle w:val="Normal"/>
        <w:tabs>
          <w:tab w:val="clear" w:pos="709"/>
          <w:tab w:val="left" w:pos="426" w:leader="none"/>
          <w:tab w:val="left" w:pos="851" w:leader="none"/>
          <w:tab w:val="left" w:pos="1134" w:leader="none"/>
        </w:tabs>
        <w:jc w:val="both"/>
        <w:rPr/>
      </w:pPr>
      <w:r>
        <w:rPr/>
        <w:t>přičemž se pro účely této smlouvy doplňuje vymezení pojmů takto:</w:t>
      </w:r>
    </w:p>
    <w:p>
      <w:pPr>
        <w:pStyle w:val="Normal"/>
        <w:numPr>
          <w:ilvl w:val="0"/>
          <w:numId w:val="29"/>
        </w:numPr>
        <w:tabs>
          <w:tab w:val="clear" w:pos="709"/>
          <w:tab w:val="left" w:pos="426" w:leader="none"/>
          <w:tab w:val="left" w:pos="851" w:leader="none"/>
          <w:tab w:val="left" w:pos="1134" w:leader="none"/>
        </w:tabs>
        <w:spacing w:before="100" w:after="100"/>
        <w:jc w:val="both"/>
        <w:rPr/>
      </w:pPr>
      <w:r>
        <w:rPr/>
        <w:t>objednatelem je zadavatel po uzavření smlouvy na plnění veřejné zakázky nebo zakázky;</w:t>
      </w:r>
    </w:p>
    <w:p>
      <w:pPr>
        <w:pStyle w:val="Normal"/>
        <w:numPr>
          <w:ilvl w:val="0"/>
          <w:numId w:val="29"/>
        </w:numPr>
        <w:tabs>
          <w:tab w:val="clear" w:pos="709"/>
          <w:tab w:val="left" w:pos="426" w:leader="none"/>
          <w:tab w:val="left" w:pos="851" w:leader="none"/>
          <w:tab w:val="left" w:pos="1134" w:leader="none"/>
        </w:tabs>
        <w:spacing w:before="100" w:after="100"/>
        <w:jc w:val="both"/>
        <w:rPr/>
      </w:pPr>
      <w:r>
        <w:rPr/>
        <w:t>zhotovitelem je dodavatel po uzavření smlouvy na plnění veřejné zakázky nebo zakázky;</w:t>
      </w:r>
    </w:p>
    <w:p>
      <w:pPr>
        <w:pStyle w:val="Normal"/>
        <w:numPr>
          <w:ilvl w:val="0"/>
          <w:numId w:val="29"/>
        </w:numPr>
        <w:tabs>
          <w:tab w:val="clear" w:pos="709"/>
          <w:tab w:val="left" w:pos="426" w:leader="none"/>
          <w:tab w:val="left" w:pos="851" w:leader="none"/>
          <w:tab w:val="left" w:pos="1134" w:leader="none"/>
        </w:tabs>
        <w:spacing w:before="100" w:after="100"/>
        <w:jc w:val="both"/>
        <w:rPr/>
      </w:pPr>
      <w:r>
        <w:rPr/>
        <w:t>podzhotovitelem je poddodavatel po uzavření smlouvy na plnění veřejné zakázky nebo zakázky;</w:t>
      </w:r>
    </w:p>
    <w:p>
      <w:pPr>
        <w:pStyle w:val="Normal"/>
        <w:numPr>
          <w:ilvl w:val="0"/>
          <w:numId w:val="29"/>
        </w:numPr>
        <w:tabs>
          <w:tab w:val="clear" w:pos="709"/>
          <w:tab w:val="left" w:pos="426" w:leader="none"/>
          <w:tab w:val="left" w:pos="851" w:leader="none"/>
          <w:tab w:val="left" w:pos="1134" w:leader="none"/>
        </w:tabs>
        <w:spacing w:before="100" w:after="100"/>
        <w:jc w:val="both"/>
        <w:rPr/>
      </w:pPr>
      <w:r>
        <w:rPr/>
        <w:t>příslušnou dokumentací je dokumentace zpracovaná v rozsahu stanoveném jiným právním předpisem (vyhláškou č. 169/2016 Sb.);</w:t>
      </w:r>
    </w:p>
    <w:p>
      <w:pPr>
        <w:pStyle w:val="Normal"/>
        <w:numPr>
          <w:ilvl w:val="0"/>
          <w:numId w:val="29"/>
        </w:numPr>
        <w:tabs>
          <w:tab w:val="clear" w:pos="709"/>
          <w:tab w:val="left" w:pos="426" w:leader="none"/>
          <w:tab w:val="left" w:pos="851" w:leader="none"/>
          <w:tab w:val="left" w:pos="1134" w:leader="none"/>
        </w:tabs>
        <w:spacing w:before="100" w:after="100"/>
        <w:jc w:val="both"/>
        <w:rPr>
          <w:rFonts w:cs="Arial"/>
          <w:b/>
          <w:b/>
        </w:rPr>
      </w:pPr>
      <w:r>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se touto smlouvou zavazuje na vlastní náklady, riziko a nebezpečí a za podmínek této smlouvy řádně provést pro objednatele dílo </w:t>
      </w:r>
      <w:r>
        <w:rPr>
          <w:rFonts w:cs="Arial"/>
          <w:b/>
        </w:rPr>
        <w:t>„Horácké muzeum v Novém Městě na Moravě – Návštěvnické centrum muzea a Úpravy zázemí“</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jc w:val="both"/>
        <w:rPr/>
      </w:pPr>
      <w:r>
        <w:rPr/>
      </w:r>
    </w:p>
    <w:p>
      <w:pPr>
        <w:pStyle w:val="Default"/>
        <w:jc w:val="both"/>
        <w:rPr>
          <w:rFonts w:ascii="Arial" w:hAnsi="Arial" w:cs="Arial"/>
          <w:color w:val="auto"/>
          <w:sz w:val="22"/>
          <w:szCs w:val="22"/>
          <w:lang w:eastAsia="zh-CN"/>
        </w:rPr>
      </w:pPr>
      <w:r>
        <w:rPr>
          <w:rFonts w:cs="Arial" w:ascii="Arial" w:hAnsi="Arial"/>
          <w:color w:val="auto"/>
          <w:sz w:val="22"/>
          <w:szCs w:val="22"/>
          <w:lang w:eastAsia="zh-CN"/>
        </w:rPr>
        <w:t xml:space="preserve">      </w:t>
      </w:r>
      <w:r>
        <w:rPr>
          <w:rFonts w:cs="Arial" w:ascii="Arial" w:hAnsi="Arial"/>
          <w:color w:val="auto"/>
          <w:sz w:val="22"/>
          <w:szCs w:val="22"/>
          <w:lang w:eastAsia="zh-CN"/>
        </w:rPr>
        <w:t xml:space="preserve">Na financování stavby „Horácké muzeum v Novém Městě na Moravě – úpravy zázemí bude  </w:t>
      </w:r>
    </w:p>
    <w:p>
      <w:pPr>
        <w:pStyle w:val="Default"/>
        <w:jc w:val="both"/>
        <w:rPr>
          <w:rFonts w:cs="Arial"/>
          <w:sz w:val="22"/>
          <w:szCs w:val="22"/>
        </w:rPr>
      </w:pPr>
      <w:r>
        <w:rPr>
          <w:rFonts w:cs="Arial" w:ascii="Arial" w:hAnsi="Arial"/>
          <w:color w:val="auto"/>
          <w:sz w:val="22"/>
          <w:szCs w:val="22"/>
          <w:lang w:eastAsia="zh-CN"/>
        </w:rPr>
        <w:t xml:space="preserve">      </w:t>
      </w:r>
      <w:r>
        <w:rPr>
          <w:rFonts w:cs="Arial" w:ascii="Arial" w:hAnsi="Arial"/>
          <w:color w:val="auto"/>
          <w:sz w:val="22"/>
          <w:szCs w:val="22"/>
          <w:lang w:eastAsia="zh-CN"/>
        </w:rPr>
        <w:t xml:space="preserve">čerpán finanční příspěvek dle podmínek </w:t>
      </w:r>
      <w:r>
        <w:rPr>
          <w:rFonts w:cs="Arial"/>
          <w:sz w:val="22"/>
          <w:szCs w:val="22"/>
        </w:rPr>
        <w:t xml:space="preserve">5. výzvy MAS Zubří země – IROP  </w:t>
      </w:r>
    </w:p>
    <w:p>
      <w:pPr>
        <w:pStyle w:val="Default"/>
        <w:jc w:val="both"/>
        <w:rPr>
          <w:rFonts w:cs="Arial"/>
          <w:sz w:val="22"/>
          <w:szCs w:val="22"/>
        </w:rPr>
      </w:pPr>
      <w:r>
        <w:rPr>
          <w:rFonts w:cs="Arial"/>
          <w:sz w:val="22"/>
          <w:szCs w:val="22"/>
        </w:rPr>
        <w:t xml:space="preserve">     – </w:t>
      </w:r>
      <w:r>
        <w:rPr>
          <w:rFonts w:cs="Arial"/>
          <w:sz w:val="22"/>
          <w:szCs w:val="22"/>
        </w:rPr>
        <w:t>Kultura – Památky a muzea 2024.</w:t>
      </w:r>
    </w:p>
    <w:p>
      <w:pPr>
        <w:pStyle w:val="Default"/>
        <w:jc w:val="both"/>
        <w:rPr>
          <w:rFonts w:cs="Arial"/>
          <w:sz w:val="22"/>
          <w:szCs w:val="22"/>
        </w:rPr>
      </w:pPr>
      <w:r>
        <w:rPr>
          <w:rFonts w:cs="Arial"/>
          <w:sz w:val="22"/>
          <w:szCs w:val="22"/>
        </w:rPr>
      </w:r>
    </w:p>
    <w:p>
      <w:pPr>
        <w:pStyle w:val="Normal"/>
        <w:ind w:start="340" w:hanging="0"/>
        <w:jc w:val="both"/>
        <w:rPr>
          <w:b/>
          <w:b/>
        </w:rPr>
      </w:pPr>
      <w:bookmarkStart w:id="3" w:name="_Hlk213849385"/>
      <w:r>
        <w:rPr>
          <w:rFonts w:cs="Arial"/>
          <w:b/>
        </w:rPr>
        <w:t>Objednatel má v úmyslu činit kroky k získání finanční podpory na  stavbu „Horácké muzeum v Novém Městě na Moravě - Úpravy zázemí“ z krajské dotace na rozvoj veřejné infrastruktury cestovního ruchu 2026. V případě, že objednatel na tuto realizaci finanční podporu získá, budou finanční toky i další náležitosti řízeny podle příslušné metodiky poskytovatele této finanční podpory. Zhotovitel je povinen se řídit všemi předpisy, které stanoví podmínky pro poskytnutí a čerpání finanční podpory, a to již od doby zpracování a podání žádosti o finanční  podporu.</w:t>
      </w:r>
    </w:p>
    <w:p>
      <w:pPr>
        <w:pStyle w:val="Normal"/>
        <w:ind w:start="340" w:hanging="0"/>
        <w:jc w:val="both"/>
        <w:rPr>
          <w:b/>
          <w:b/>
        </w:rPr>
      </w:pPr>
      <w:r>
        <w:rPr>
          <w:rFonts w:cs="Arial"/>
          <w:b/>
        </w:rPr>
        <w:t>Objednatel bude zhotovitele o zpracování a podání žádosti o poskytnutí finanční podpory, jakož i o podmínkách pro poskytnutí finanční podpory informovat, a to bez zbytečného odkladu. Zhotovitel tuto skutečnost bere na vědomí a zavazuje se s objednatelem</w:t>
      </w:r>
      <w:r>
        <w:rPr>
          <w:rFonts w:eastAsia="Arial" w:cs="Arial"/>
          <w:b/>
        </w:rPr>
        <w:t xml:space="preserve"> </w:t>
      </w:r>
      <w:r>
        <w:rPr>
          <w:rFonts w:cs="Arial"/>
          <w:b/>
        </w:rPr>
        <w:t>účinně spolupracovat tak, aby byly splněny veškeré požadavky a podmínky pro úspěšné čerpání  případné finanční podpory.</w:t>
      </w:r>
      <w:bookmarkEnd w:id="3"/>
    </w:p>
    <w:p>
      <w:pPr>
        <w:pStyle w:val="Normal"/>
        <w:tabs>
          <w:tab w:val="clear" w:pos="709"/>
          <w:tab w:val="left" w:pos="426" w:leader="none"/>
          <w:tab w:val="left" w:pos="851" w:leader="none"/>
          <w:tab w:val="left" w:pos="1134" w:leader="none"/>
        </w:tabs>
        <w:ind w:start="426" w:hanging="0"/>
        <w:jc w:val="both"/>
        <w:rPr>
          <w:rFonts w:cs="Arial"/>
          <w:highlight w:val="green"/>
        </w:rPr>
      </w:pPr>
      <w:r>
        <w:rPr>
          <w:rFonts w:cs="Arial"/>
          <w:highlight w:val="green"/>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Závaznými podklady, kterými se sjednává obsah, rozsah, způsob a podmínky provedení díla jsou:</w:t>
      </w:r>
    </w:p>
    <w:p>
      <w:pPr>
        <w:pStyle w:val="ListParagraph"/>
        <w:numPr>
          <w:ilvl w:val="0"/>
          <w:numId w:val="5"/>
        </w:numPr>
        <w:tabs>
          <w:tab w:val="clear" w:pos="709"/>
          <w:tab w:val="left" w:pos="426" w:leader="none"/>
          <w:tab w:val="left" w:pos="851" w:leader="none"/>
          <w:tab w:val="left" w:pos="1134" w:leader="none"/>
        </w:tabs>
        <w:spacing w:before="80" w:after="0"/>
        <w:ind w:start="851" w:hanging="425"/>
        <w:contextualSpacing/>
        <w:jc w:val="both"/>
        <w:rPr>
          <w:rFonts w:cs="Arial"/>
        </w:rPr>
      </w:pPr>
      <w:r>
        <w:rPr>
          <w:rFonts w:cs="Arial"/>
        </w:rPr>
        <w:t xml:space="preserve">projektová dokumentace pro provedení stavby </w:t>
      </w:r>
      <w:r>
        <w:rPr/>
        <w:t xml:space="preserve">DPS </w:t>
      </w:r>
      <w:bookmarkStart w:id="4" w:name="_Hlk218769717"/>
      <w:r>
        <w:rPr>
          <w:rFonts w:cs="Arial"/>
        </w:rPr>
        <w:t xml:space="preserve">„ Horácké muzeum v NMNM úpravy zázemí - stavba, zpracovaná fy Ing.arch.František Brychta, IČ 88507190 v 09/2025 pod zak.č. </w:t>
      </w:r>
      <w:r>
        <w:rPr>
          <w:color w:val="E02813"/>
        </w:rPr>
        <w:t xml:space="preserve"> </w:t>
      </w:r>
      <w:r>
        <w:rPr/>
        <w:t>MUNMNM/10228/2025-2</w:t>
      </w:r>
      <w:r>
        <w:rPr>
          <w:rFonts w:cs="Arial"/>
        </w:rPr>
        <w:t xml:space="preserve"> a projektová dokumentace pro provedení stavby „ Horácké muzeum v NMNM úpravy zázemí - vytápění “, zpracovaná fy </w:t>
      </w:r>
      <w:r>
        <w:rPr/>
        <w:t xml:space="preserve">Ing. Leoš Pohanka , IČ 45653054 v 12/2025 </w:t>
      </w:r>
      <w:r>
        <w:rPr>
          <w:rFonts w:cs="Arial"/>
        </w:rPr>
        <w:t>(dále také jen „projektová dokumentace“ nebo „PD“).</w:t>
      </w:r>
      <w:bookmarkEnd w:id="4"/>
      <w:r>
        <w:rPr>
          <w:rFonts w:cs="Arial"/>
          <w:b/>
        </w:rPr>
        <w:t xml:space="preserve"> </w:t>
      </w:r>
      <w:bookmarkStart w:id="5" w:name="_Hlk217976975"/>
      <w:bookmarkEnd w:id="5"/>
    </w:p>
    <w:p>
      <w:pPr>
        <w:pStyle w:val="ListParagraph"/>
        <w:numPr>
          <w:ilvl w:val="0"/>
          <w:numId w:val="5"/>
        </w:numPr>
        <w:tabs>
          <w:tab w:val="clear" w:pos="709"/>
          <w:tab w:val="left" w:pos="426" w:leader="none"/>
          <w:tab w:val="left" w:pos="851" w:leader="none"/>
          <w:tab w:val="left" w:pos="1134" w:leader="none"/>
        </w:tabs>
        <w:spacing w:before="80" w:after="0"/>
        <w:ind w:start="851" w:hanging="425"/>
        <w:contextualSpacing/>
        <w:jc w:val="both"/>
        <w:rPr>
          <w:rFonts w:cs="Arial"/>
        </w:rPr>
      </w:pPr>
      <w:r>
        <w:rPr>
          <w:rFonts w:cs="Arial"/>
        </w:rPr>
        <w:t>zadávací dokumentace veřejné zakázky „</w:t>
      </w:r>
      <w:r>
        <w:rPr>
          <w:rFonts w:cs="Arial"/>
          <w:b/>
        </w:rPr>
        <w:t>Horácké muzeum v Novém Městě na Moravě – Návštěvnické centrum muzea a Úpravy zázemí</w:t>
      </w:r>
      <w:r>
        <w:rPr>
          <w:rFonts w:cs="Arial"/>
        </w:rPr>
        <w:t xml:space="preserve"> “ (projektová a textová část vč. výkazu výměr) zveřejněná objednatelem jako zadavatelem v rámci zadávacího řízení na profilu zadavatele </w:t>
      </w:r>
      <w:hyperlink r:id="rId2">
        <w:r>
          <w:rPr>
            <w:rStyle w:val="Internetovodkaz"/>
            <w:rFonts w:cs="Arial"/>
          </w:rPr>
          <w:t>https://zakazky.nmnm.cz/</w:t>
        </w:r>
      </w:hyperlink>
      <w:r>
        <w:rPr>
          <w:rFonts w:cs="Arial"/>
        </w:rPr>
        <w:t xml:space="preserve"> (dále také jen „zadávací dokumentace“);</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nabídka zhotovitele, vč. nabídkového položkového rozpočtu zhotovitele, krycího listu nabídky a harmonogramu postupu prací;</w:t>
      </w:r>
    </w:p>
    <w:p>
      <w:pPr>
        <w:pStyle w:val="Normal"/>
        <w:tabs>
          <w:tab w:val="clear" w:pos="709"/>
          <w:tab w:val="left" w:pos="426" w:leader="none"/>
          <w:tab w:val="left" w:pos="851" w:leader="none"/>
          <w:tab w:val="left" w:pos="1134" w:leader="none"/>
        </w:tabs>
        <w:suppressAutoHyphens w:val="false"/>
        <w:spacing w:before="80" w:after="0"/>
        <w:jc w:val="both"/>
        <w:rPr>
          <w:rFonts w:cs="Arial"/>
        </w:rPr>
      </w:pPr>
      <w:r>
        <w:rPr>
          <w:rFonts w:cs="Arial"/>
        </w:rPr>
        <w:t xml:space="preserve">       </w:t>
      </w:r>
      <w:r>
        <w:rPr>
          <w:rFonts w:cs="Arial"/>
        </w:rPr>
        <w:t xml:space="preserve">d)    pravomocná povolení stavby, vyjádření dotčených subjektů a účastníků řízení; </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návody k montáži, k uvedení do provozu a k obsluze jednotlivých částí díla, pokud k těmto částem byly vypracovány</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r>
        <w:rPr>
          <w:rFonts w:cs="Arial"/>
        </w:rPr>
        <w:t xml:space="preserve">pravidla pro financování opatření dle 5. výzvy MAS Zubří země – IROP – Kultura – Památky a muzea 2024 </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r>
        <w:rPr>
          <w:rFonts w:cs="Arial"/>
        </w:rPr>
        <w:t>pravidla pro financování opatření krajské dotace na rozvoj veřejné infrastruktury cestovního ruchu 2026</w:t>
      </w:r>
    </w:p>
    <w:p>
      <w:pPr>
        <w:pStyle w:val="Normal"/>
        <w:tabs>
          <w:tab w:val="clear" w:pos="709"/>
          <w:tab w:val="left" w:pos="426" w:leader="none"/>
          <w:tab w:val="left" w:pos="851" w:leader="none"/>
          <w:tab w:val="left" w:pos="1134" w:leader="none"/>
        </w:tabs>
        <w:spacing w:before="80" w:after="0"/>
        <w:ind w:start="851" w:hanging="0"/>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Součástí díla je rovněž: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komplexní vyzkoušení všech částí díla za účasti objednatele a zástupců budoucího uživatele;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předání návodu/návodů k obsluze, používání a údržbě příslušných částí díla, zaškolení obsluhy vč. předání dokladu o tomto zaškolení, předání záručních listů;</w:t>
      </w:r>
    </w:p>
    <w:p>
      <w:pPr>
        <w:pStyle w:val="ListParagraph"/>
        <w:numPr>
          <w:ilvl w:val="0"/>
          <w:numId w:val="17"/>
        </w:numPr>
        <w:tabs>
          <w:tab w:val="clear" w:pos="709"/>
          <w:tab w:val="left" w:pos="426" w:leader="none"/>
          <w:tab w:val="left" w:pos="851" w:leader="none"/>
          <w:tab w:val="left" w:pos="1134" w:leader="none"/>
        </w:tabs>
        <w:spacing w:before="80" w:after="0"/>
        <w:ind w:start="624" w:hanging="170"/>
        <w:contextualSpacing/>
        <w:jc w:val="both"/>
        <w:rPr/>
      </w:pPr>
      <w:r>
        <w:rPr>
          <w:rFonts w:cs="Arial"/>
        </w:rPr>
        <w:t>vyhotovení a předání zaměření skutečného provedení stavby do digitální technické mapy takto:</w:t>
      </w:r>
    </w:p>
    <w:p>
      <w:pPr>
        <w:pStyle w:val="Normal"/>
        <w:tabs>
          <w:tab w:val="clear" w:pos="709"/>
          <w:tab w:val="left" w:pos="426" w:leader="none"/>
          <w:tab w:val="left" w:pos="851" w:leader="none"/>
          <w:tab w:val="left" w:pos="1134" w:leader="none"/>
        </w:tabs>
        <w:spacing w:before="80" w:after="0"/>
        <w:ind w:start="1790" w:hanging="0"/>
        <w:jc w:val="both"/>
        <w:rPr/>
      </w:pPr>
      <w:r>
        <w:rPr>
          <w:rFonts w:cs="Arial"/>
        </w:rPr>
        <w:t>Při aktualizaci základní prostorové situace (ZPS) zhotovitel:</w:t>
      </w:r>
    </w:p>
    <w:p>
      <w:pPr>
        <w:pStyle w:val="Normal"/>
        <w:numPr>
          <w:ilvl w:val="0"/>
          <w:numId w:val="30"/>
        </w:numPr>
        <w:suppressAutoHyphens w:val="false"/>
        <w:rPr/>
      </w:pPr>
      <w:r>
        <w:rPr>
          <w:rFonts w:cs="Arial"/>
          <w:color w:val="000000"/>
          <w:lang w:eastAsia="cs-CZ"/>
        </w:rPr>
        <w:t>předá zaměření skutečného provedení stavby ověřené autorizovaným zeměměřickým inženýrem (AZI). Součástí zaměření skutečného provedení stavby bude:</w:t>
      </w:r>
    </w:p>
    <w:p>
      <w:pPr>
        <w:pStyle w:val="ListParagraph"/>
        <w:tabs>
          <w:tab w:val="clear" w:pos="709"/>
          <w:tab w:val="left" w:pos="993" w:leader="none"/>
        </w:tabs>
        <w:suppressAutoHyphens w:val="false"/>
        <w:ind w:start="2510" w:hanging="0"/>
        <w:rPr/>
      </w:pPr>
      <w:r>
        <w:rPr>
          <w:rFonts w:cs="Arial"/>
          <w:color w:val="000000"/>
          <w:lang w:eastAsia="cs-CZ"/>
        </w:rPr>
        <w:t>- výkres ve formátech DGN a PDF</w:t>
      </w:r>
    </w:p>
    <w:p>
      <w:pPr>
        <w:pStyle w:val="ListParagraph"/>
        <w:tabs>
          <w:tab w:val="clear" w:pos="709"/>
          <w:tab w:val="left" w:pos="993" w:leader="none"/>
        </w:tabs>
        <w:suppressAutoHyphens w:val="false"/>
        <w:ind w:start="2510" w:hanging="0"/>
        <w:rPr/>
      </w:pPr>
      <w:r>
        <w:rPr>
          <w:rFonts w:cs="Arial"/>
          <w:color w:val="000000"/>
          <w:lang w:eastAsia="cs-CZ"/>
        </w:rPr>
        <w:t>- technická zpráva ve formátu DOCX</w:t>
      </w:r>
    </w:p>
    <w:p>
      <w:pPr>
        <w:pStyle w:val="ListParagraph"/>
        <w:tabs>
          <w:tab w:val="clear" w:pos="709"/>
          <w:tab w:val="left" w:pos="993" w:leader="none"/>
        </w:tabs>
        <w:suppressAutoHyphens w:val="false"/>
        <w:ind w:start="2510" w:hanging="0"/>
        <w:rPr/>
      </w:pPr>
      <w:r>
        <w:rPr>
          <w:rFonts w:cs="Arial"/>
          <w:color w:val="000000"/>
          <w:lang w:eastAsia="cs-CZ"/>
        </w:rPr>
        <w:t>- seznam souřadnic ve formátu TXT</w:t>
      </w:r>
    </w:p>
    <w:p>
      <w:pPr>
        <w:pStyle w:val="ListParagraph"/>
        <w:tabs>
          <w:tab w:val="clear" w:pos="709"/>
          <w:tab w:val="left" w:pos="993" w:leader="none"/>
          <w:tab w:val="left" w:pos="2700" w:leader="none"/>
        </w:tabs>
        <w:suppressAutoHyphens w:val="false"/>
        <w:ind w:start="2665" w:hanging="170"/>
        <w:rPr/>
      </w:pPr>
      <w:r>
        <w:rPr>
          <w:rFonts w:cs="Arial"/>
          <w:color w:val="000000"/>
          <w:lang w:eastAsia="cs-CZ"/>
        </w:rPr>
        <w:t>- tabulka s výměrami nově vzniklých zpevněných ploch členěná dle     druhu a materiálu</w:t>
      </w:r>
    </w:p>
    <w:p>
      <w:pPr>
        <w:pStyle w:val="Normal"/>
        <w:numPr>
          <w:ilvl w:val="0"/>
          <w:numId w:val="31"/>
        </w:numPr>
        <w:suppressAutoHyphens w:val="false"/>
        <w:rPr/>
      </w:pPr>
      <w:r>
        <w:rPr>
          <w:rFonts w:cs="Arial"/>
          <w:color w:val="000000"/>
          <w:lang w:eastAsia="cs-CZ"/>
        </w:rPr>
        <w:t>prostřednictvím AZI (typ oprávnění C – dle § 16f, odst. 1 zákona 200/1994 Sb., o zeměměřictví) provede posouzení změn v základní prostorové situaci (ZPS) vedené v Digitální technické mapě Kraje Vysočina (DTM KV) (</w:t>
      </w:r>
      <w:hyperlink r:id="rId3">
        <w:r>
          <w:rPr>
            <w:rFonts w:cs="Arial"/>
            <w:color w:val="0000FF"/>
            <w:lang w:eastAsia="cs-CZ"/>
          </w:rPr>
          <w:t>https://vys.krajdtm.cz/portal-vys/</w:t>
        </w:r>
      </w:hyperlink>
      <w:r>
        <w:rPr/>
        <w:t>)</w:t>
      </w:r>
      <w:r>
        <w:rPr>
          <w:rFonts w:cs="Arial"/>
          <w:color w:val="000000"/>
          <w:lang w:eastAsia="cs-CZ"/>
        </w:rPr>
        <w:t xml:space="preserve">. Za změnu je považováno též doplnění objektů v DTM KV. V případě, že se změnila situace oproti ZPS vedené v DTM KV, AZI vyhotoví a předá podklad pro aktualizaci DTM (geodetickou aktualizační dokumentaci, tzv. GAD), a to: </w:t>
      </w:r>
    </w:p>
    <w:p>
      <w:pPr>
        <w:pStyle w:val="ListParagraph"/>
        <w:tabs>
          <w:tab w:val="clear" w:pos="709"/>
          <w:tab w:val="left" w:pos="993" w:leader="none"/>
        </w:tabs>
        <w:suppressAutoHyphens w:val="false"/>
        <w:ind w:start="2510" w:hanging="0"/>
        <w:jc w:val="both"/>
        <w:rPr/>
      </w:pPr>
      <w:r>
        <w:rPr>
          <w:rFonts w:cs="Arial"/>
          <w:color w:val="000000"/>
          <w:lang w:eastAsia="cs-CZ"/>
        </w:rPr>
        <w:t>- ve verzi výměnného formátu aktuálně nasazené na Informačním systému Digitální mapy veřejné správy (IS DMVS) / Informačním systému Digitální technické mapy kraje (IS DTM),</w:t>
      </w:r>
    </w:p>
    <w:p>
      <w:pPr>
        <w:pStyle w:val="ListParagraph"/>
        <w:tabs>
          <w:tab w:val="clear" w:pos="709"/>
          <w:tab w:val="left" w:pos="993" w:leader="none"/>
        </w:tabs>
        <w:suppressAutoHyphens w:val="false"/>
        <w:ind w:start="2510" w:hanging="0"/>
        <w:rPr/>
      </w:pPr>
      <w:r>
        <w:rPr>
          <w:rFonts w:cs="Arial"/>
          <w:color w:val="000000"/>
          <w:lang w:eastAsia="cs-CZ"/>
        </w:rPr>
        <w:t>- zpracovaný v souladu s § 5, dle obsahu přílohy č. 3 vyhlášky č. 393/2020 Sb., o digitální technické mapě kraje (vyhláška DTM), v platném znění,</w:t>
      </w:r>
    </w:p>
    <w:p>
      <w:pPr>
        <w:pStyle w:val="ListParagraph"/>
        <w:tabs>
          <w:tab w:val="clear" w:pos="709"/>
          <w:tab w:val="left" w:pos="993" w:leader="none"/>
        </w:tabs>
        <w:suppressAutoHyphens w:val="false"/>
        <w:ind w:start="2510" w:hanging="0"/>
        <w:rPr/>
      </w:pPr>
      <w:r>
        <w:rPr>
          <w:rFonts w:cs="Arial"/>
          <w:color w:val="000000"/>
          <w:lang w:eastAsia="cs-CZ"/>
        </w:rPr>
        <w:t>- obsahující části dle přílohy č. 4 vyhlášky DTM,</w:t>
      </w:r>
    </w:p>
    <w:p>
      <w:pPr>
        <w:pStyle w:val="ListParagraph"/>
        <w:tabs>
          <w:tab w:val="clear" w:pos="709"/>
          <w:tab w:val="left" w:pos="993" w:leader="none"/>
        </w:tabs>
        <w:suppressAutoHyphens w:val="false"/>
        <w:ind w:start="2510" w:hanging="0"/>
        <w:rPr/>
      </w:pPr>
      <w:r>
        <w:rPr>
          <w:rFonts w:cs="Arial"/>
          <w:color w:val="000000"/>
          <w:lang w:eastAsia="cs-CZ"/>
        </w:rPr>
        <w:t xml:space="preserve">- vyhotovený s využitím stávajících údajů digitální technické mapy formou tzv. změnových vět. </w:t>
      </w:r>
    </w:p>
    <w:p>
      <w:pPr>
        <w:pStyle w:val="ListParagraph"/>
        <w:suppressAutoHyphens w:val="false"/>
        <w:ind w:start="2510" w:hanging="0"/>
        <w:jc w:val="both"/>
        <w:rPr/>
      </w:pPr>
      <w:r>
        <w:rPr>
          <w:rFonts w:cs="Arial"/>
          <w:b/>
          <w:bCs/>
          <w:color w:val="000000"/>
          <w:lang w:eastAsia="cs-CZ"/>
        </w:rPr>
        <w:t>Předáním podkladu pro aktualizaci DTM se rozumí vložení GAD do Portálu DMVS a předání protokolu o způsobilosti podkladu k zapracování objednateli.</w:t>
      </w:r>
    </w:p>
    <w:p>
      <w:pPr>
        <w:pStyle w:val="ListParagraph"/>
        <w:suppressAutoHyphens w:val="false"/>
        <w:ind w:start="2510" w:hanging="0"/>
        <w:jc w:val="both"/>
        <w:rPr>
          <w:rFonts w:cs="Arial"/>
          <w:color w:val="000000"/>
          <w:lang w:eastAsia="cs-CZ"/>
        </w:rPr>
      </w:pPr>
      <w:r>
        <w:rPr>
          <w:rFonts w:cs="Arial"/>
          <w:color w:val="000000"/>
          <w:lang w:eastAsia="cs-CZ"/>
        </w:rPr>
      </w:r>
    </w:p>
    <w:p>
      <w:pPr>
        <w:pStyle w:val="ListParagraph"/>
        <w:tabs>
          <w:tab w:val="clear" w:pos="709"/>
          <w:tab w:val="left" w:pos="851" w:leader="none"/>
        </w:tabs>
        <w:suppressAutoHyphens w:val="false"/>
        <w:ind w:start="2510" w:hanging="0"/>
        <w:jc w:val="both"/>
        <w:rPr/>
      </w:pPr>
      <w:r>
        <w:rPr>
          <w:rFonts w:cs="Arial"/>
          <w:color w:val="000000"/>
          <w:lang w:eastAsia="cs-CZ"/>
        </w:rPr>
        <w:t>Při aktualizaci dopravní a technické infrastruktury (DTI) ve vlastnictví města zhotovitel:</w:t>
      </w:r>
    </w:p>
    <w:p>
      <w:pPr>
        <w:pStyle w:val="Normal"/>
        <w:suppressAutoHyphens w:val="false"/>
        <w:ind w:start="1790" w:hanging="0"/>
        <w:rPr/>
      </w:pPr>
      <w:r>
        <w:rPr>
          <w:rFonts w:cs="Arial"/>
          <w:sz w:val="26"/>
          <w:szCs w:val="26"/>
          <w:lang w:eastAsia="cs-CZ"/>
        </w:rPr>
        <w:t xml:space="preserve">• </w:t>
      </w:r>
      <w:r>
        <w:rPr>
          <w:rFonts w:cs="Arial"/>
          <w:color w:val="000000"/>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p>
    <w:p>
      <w:pPr>
        <w:pStyle w:val="ListParagraph"/>
        <w:suppressAutoHyphens w:val="false"/>
        <w:ind w:start="2510" w:hanging="0"/>
        <w:jc w:val="both"/>
        <w:rPr>
          <w:rFonts w:cs="Arial"/>
          <w:color w:val="000000"/>
          <w:lang w:eastAsia="cs-CZ"/>
        </w:rPr>
      </w:pPr>
      <w:r>
        <w:rPr>
          <w:rFonts w:cs="Arial"/>
          <w:color w:val="000000"/>
          <w:lang w:eastAsia="cs-CZ"/>
        </w:rPr>
      </w:r>
    </w:p>
    <w:p>
      <w:pPr>
        <w:pStyle w:val="Normal"/>
        <w:suppressAutoHyphens w:val="false"/>
        <w:ind w:start="1790" w:hanging="0"/>
        <w:rPr/>
      </w:pPr>
      <w:r>
        <w:rPr>
          <w:rFonts w:cs="Arial"/>
          <w:sz w:val="26"/>
          <w:szCs w:val="26"/>
          <w:lang w:eastAsia="cs-CZ"/>
        </w:rPr>
        <w:t xml:space="preserve">• </w:t>
      </w:r>
      <w:r>
        <w:rPr>
          <w:rFonts w:cs="Arial"/>
          <w:color w:val="000000"/>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p>
    <w:p>
      <w:pPr>
        <w:pStyle w:val="ListParagraph"/>
        <w:suppressAutoHyphens w:val="false"/>
        <w:ind w:start="2510" w:hanging="0"/>
        <w:jc w:val="both"/>
        <w:rPr>
          <w:rFonts w:cs="Arial"/>
          <w:color w:val="000000"/>
          <w:lang w:eastAsia="cs-CZ"/>
        </w:rPr>
      </w:pPr>
      <w:r>
        <w:rPr>
          <w:rFonts w:cs="Arial"/>
          <w:color w:val="000000"/>
          <w:lang w:eastAsia="cs-CZ"/>
        </w:rPr>
      </w:r>
    </w:p>
    <w:p>
      <w:pPr>
        <w:pStyle w:val="ListParagraph"/>
        <w:tabs>
          <w:tab w:val="clear" w:pos="709"/>
          <w:tab w:val="left" w:pos="851" w:leader="none"/>
        </w:tabs>
        <w:suppressAutoHyphens w:val="false"/>
        <w:ind w:start="644" w:hanging="0"/>
        <w:jc w:val="both"/>
        <w:rPr/>
      </w:pPr>
      <w:r>
        <w:rPr>
          <w:rFonts w:cs="Arial"/>
          <w:color w:val="000000"/>
          <w:lang w:eastAsia="cs-CZ"/>
        </w:rPr>
        <w:t>Pro případ pasportizace údajů nad rámec obsahu DTM kraje zhotovitel předá ještě další údaje, a to pro DTM obce:</w:t>
      </w:r>
    </w:p>
    <w:p>
      <w:pPr>
        <w:pStyle w:val="Normal"/>
        <w:tabs>
          <w:tab w:val="clear" w:pos="709"/>
          <w:tab w:val="left" w:pos="851" w:leader="none"/>
        </w:tabs>
        <w:suppressAutoHyphens w:val="false"/>
        <w:spacing w:before="80" w:after="0"/>
        <w:ind w:start="1790" w:hanging="0"/>
        <w:jc w:val="both"/>
        <w:rPr/>
      </w:pPr>
      <w:r>
        <w:rPr>
          <w:rFonts w:cs="Arial"/>
          <w:color w:val="000000"/>
          <w:sz w:val="26"/>
          <w:szCs w:val="26"/>
          <w:lang w:eastAsia="cs-CZ"/>
        </w:rPr>
        <w:t xml:space="preserve">• </w:t>
      </w:r>
      <w:r>
        <w:rPr>
          <w:rFonts w:cs="Arial"/>
          <w:color w:val="000000"/>
          <w:lang w:eastAsia="cs-CZ"/>
        </w:rPr>
        <w:t>předá objekty, které nejsou součástí DTM, ale jsou součástí pasportu komunikací, zeleně a dalších v samostatném výkresu pasport.dgn, v němž bude každý z jevů zpracován jako samostatná vrstva.</w:t>
      </w:r>
    </w:p>
    <w:p>
      <w:pPr>
        <w:pStyle w:val="Normal"/>
        <w:numPr>
          <w:ilvl w:val="0"/>
          <w:numId w:val="17"/>
        </w:numPr>
        <w:tabs>
          <w:tab w:val="clear" w:pos="709"/>
          <w:tab w:val="left" w:pos="426" w:leader="none"/>
          <w:tab w:val="left" w:pos="851" w:leader="none"/>
          <w:tab w:val="left" w:pos="1134" w:leader="none"/>
        </w:tabs>
        <w:spacing w:before="80" w:after="0"/>
        <w:jc w:val="both"/>
        <w:rPr/>
      </w:pPr>
      <w:r>
        <w:rPr>
          <w:rFonts w:cs="Arial"/>
        </w:rPr>
        <w:t>dodání geometrických plánů pro zápis změn do katastru nemovitostí a příp. majetkové vypořádání ověřených katastrálním úřadem v potřebném počtu vyhotovení;</w:t>
      </w:r>
    </w:p>
    <w:p>
      <w:pPr>
        <w:pStyle w:val="Normal"/>
        <w:numPr>
          <w:ilvl w:val="0"/>
          <w:numId w:val="17"/>
        </w:numPr>
        <w:tabs>
          <w:tab w:val="clear" w:pos="709"/>
          <w:tab w:val="left" w:pos="426" w:leader="none"/>
          <w:tab w:val="left" w:pos="851" w:leader="none"/>
          <w:tab w:val="left" w:pos="1134" w:leader="none"/>
        </w:tabs>
        <w:spacing w:before="80" w:after="0"/>
        <w:ind w:start="624" w:hanging="340"/>
        <w:jc w:val="both"/>
        <w:rPr/>
      </w:pPr>
      <w:r>
        <w:rPr>
          <w:rFonts w:cs="Arial"/>
        </w:rPr>
        <w:t xml:space="preserve">    </w:t>
      </w:r>
      <w:r>
        <w:rPr>
          <w:rFonts w:cs="Arial"/>
        </w:rPr>
        <w:t>dodání projektu skutečného provedení stavby, a to 3x v listinné podobě a 1x v digitální formě;</w:t>
      </w:r>
    </w:p>
    <w:p>
      <w:pPr>
        <w:pStyle w:val="Normal"/>
        <w:numPr>
          <w:ilvl w:val="0"/>
          <w:numId w:val="17"/>
        </w:numPr>
        <w:tabs>
          <w:tab w:val="clear" w:pos="709"/>
          <w:tab w:val="left" w:pos="426" w:leader="none"/>
          <w:tab w:val="left" w:pos="851" w:leader="none"/>
          <w:tab w:val="left" w:pos="1134" w:leader="none"/>
        </w:tabs>
        <w:suppressAutoHyphens w:val="false"/>
        <w:spacing w:before="80" w:after="0"/>
        <w:jc w:val="both"/>
        <w:rPr>
          <w:rFonts w:cs="Arial"/>
        </w:rPr>
      </w:pPr>
      <w:r>
        <w:rPr>
          <w:rFonts w:cs="Arial"/>
        </w:rPr>
        <w:t xml:space="preserve">dodání </w:t>
      </w:r>
      <w:r>
        <w:rPr>
          <w:rFonts w:cs="Arial"/>
          <w:bCs/>
        </w:rPr>
        <w:t>informačního modelu budovy skutečného provedení pro správu a plán údržby budovy v průběhu životního cyklu (BIM)</w:t>
      </w:r>
      <w:r>
        <w:rPr>
          <w:rFonts w:cs="Arial"/>
        </w:rPr>
        <w:t xml:space="preserve"> - zapracování skutečného provedení stavebních konstrukcí v rozsahu informačního modelu budovy obsaženého v zadávací dokumentaci. U dodaných stavebních výrobků bude do modelu doplněn typ, výrobce a požadavky na provozování a revize, životnost výrobku. Součástí modelu budou záruční a technické listy, případně smlouvy o údržbě;</w:t>
      </w:r>
    </w:p>
    <w:p>
      <w:pPr>
        <w:pStyle w:val="Normal"/>
        <w:numPr>
          <w:ilvl w:val="0"/>
          <w:numId w:val="17"/>
        </w:numPr>
        <w:tabs>
          <w:tab w:val="clear" w:pos="709"/>
          <w:tab w:val="left" w:pos="426" w:leader="none"/>
          <w:tab w:val="left" w:pos="851" w:leader="none"/>
          <w:tab w:val="left" w:pos="1134" w:leader="none"/>
        </w:tabs>
        <w:suppressAutoHyphens w:val="false"/>
        <w:spacing w:before="80" w:after="0"/>
        <w:jc w:val="both"/>
        <w:rPr>
          <w:rFonts w:cs="Arial"/>
        </w:rPr>
      </w:pPr>
      <w:r>
        <w:rPr>
          <w:rFonts w:cs="Arial"/>
        </w:rPr>
        <w:t xml:space="preserve"> </w:t>
      </w:r>
      <w:r>
        <w:rPr>
          <w:rFonts w:cs="Arial"/>
        </w:rPr>
        <w:t>vytýčení stavby dle projektové dokumentace;</w:t>
      </w:r>
    </w:p>
    <w:p>
      <w:pPr>
        <w:pStyle w:val="Normal"/>
        <w:numPr>
          <w:ilvl w:val="0"/>
          <w:numId w:val="17"/>
        </w:numPr>
        <w:tabs>
          <w:tab w:val="clear" w:pos="709"/>
          <w:tab w:val="left" w:pos="426" w:leader="none"/>
          <w:tab w:val="left" w:pos="851" w:leader="none"/>
          <w:tab w:val="left" w:pos="1134" w:leader="none"/>
        </w:tabs>
        <w:suppressAutoHyphens w:val="false"/>
        <w:spacing w:before="80" w:after="0"/>
        <w:jc w:val="both"/>
        <w:rPr>
          <w:rFonts w:cs="Arial"/>
        </w:rPr>
      </w:pPr>
      <w:r>
        <w:rPr>
          <w:rFonts w:cs="Arial"/>
        </w:rPr>
        <w:t xml:space="preserve">    </w:t>
      </w:r>
      <w:r>
        <w:rPr>
          <w:rFonts w:cs="Arial"/>
        </w:rPr>
        <w:t xml:space="preserve">zhotovitel zajistí po celou dobu realizace stavby její zřetelné označení tabulí s údajem, kdo   stavbu provádí a s nepřetržitým kontaktem na odpovědného pracovníka zhotovitele. Současně zajistí označení stavby z pohledu dotace – cedule publicity, pokud bude v podmínkách dotace vyžadováno. </w:t>
      </w:r>
    </w:p>
    <w:p>
      <w:pPr>
        <w:pStyle w:val="Normal"/>
        <w:tabs>
          <w:tab w:val="clear" w:pos="709"/>
          <w:tab w:val="left" w:pos="426" w:leader="none"/>
          <w:tab w:val="left" w:pos="851" w:leader="none"/>
          <w:tab w:val="left" w:pos="1134" w:leader="none"/>
        </w:tabs>
        <w:suppressAutoHyphens w:val="false"/>
        <w:spacing w:before="80" w:after="0"/>
        <w:ind w:start="644" w:hanging="0"/>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všech dokladů potřebných k uvedení stavby, která je předmětem díla, do trvalého provozu;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způsobu likvidace vzniklých odpadů dle zák. č. 541/2020 Sb., v platném znění;</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převzetí inženýrských sítí dotčených stavbou jejich správci nebo prohlášení, že daná inž. síť nebyla dotčena;</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fotodokumentace z průběhu stavby – v digitální podobě ve formátu jpg;</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V rámci užívání prostoru staveniště je zhotovitel povinen chránit majetek města a v případě jeho poškození je povinen na své náklady uvést tento majetek do původního nebo s objednatelem dohodnutého stavu.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Další podmínky realizace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si sám na vlastní náklady zajistí veškeré vytýčení inženýrských sítí dotčených stavbou a tyto převezme od jejich správců včetně převzetí povinností a odpovědnosti v návaznosti na platné předpisy a včetně převzetí povinností a odpovědnosti vyplývajících z příp.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projednání, povolení a provedení nutných uzavírek, zvláštního užívání veřejných ploch (překopy komunikací, zeleně, skládky materiálu,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si vyhrazuje právo odsouhlasit případná dopravní omezení a řešení dopravy (pěší i automobilové) po dobu realizace stavby navržená zhotovitelem.</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zajistí dozor a soustavnou kontrolu nad bezpečností práce při činnosti na staveništi. Jeho odpovědnost zahrnuje též odpovědnost za osoby, jež se s jeho vědomím zdržují na staveništi.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8"/>
        </w:numPr>
        <w:tabs>
          <w:tab w:val="clear" w:pos="709"/>
          <w:tab w:val="left" w:pos="426" w:leader="none"/>
          <w:tab w:val="left" w:pos="851" w:leader="none"/>
          <w:tab w:val="left" w:pos="1134" w:leader="none"/>
        </w:tabs>
        <w:suppressAutoHyphens w:val="false"/>
        <w:spacing w:before="80" w:after="0"/>
        <w:ind w:start="850" w:hanging="454"/>
        <w:jc w:val="both"/>
        <w:rPr>
          <w:rFonts w:cs="Arial"/>
        </w:rPr>
      </w:pPr>
      <w:r>
        <w:rPr>
          <w:rFonts w:cs="Arial"/>
        </w:rPr>
        <w:t>zhotovitel zajistí po celou dobu realizace stavby její zřetelné označení tabulí s údajem, kdo stavbu provádí a s nepřetržitým kontaktem na odpovědného pracovníka zhotovitele. Současně zajistí označení stavby z pohledu dotace – cedule publicity.</w:t>
      </w:r>
    </w:p>
    <w:p>
      <w:pPr>
        <w:pStyle w:val="Normal"/>
        <w:tabs>
          <w:tab w:val="clear" w:pos="709"/>
          <w:tab w:val="left" w:pos="426" w:leader="none"/>
          <w:tab w:val="left" w:pos="851" w:leader="none"/>
          <w:tab w:val="left" w:pos="1134" w:leader="none"/>
        </w:tabs>
        <w:spacing w:before="80" w:after="0"/>
        <w:ind w:start="851" w:hanging="0"/>
        <w:jc w:val="both"/>
        <w:rPr/>
      </w:pPr>
      <w:r>
        <w:rPr/>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provede komplexní dodávku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provádět práce plynule, bez zbytečných průtahů, zdržení a přestávek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po celou dobu realizace stavby zajistit bezpečný pohyb v okolí budovy Horáckého muzea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t>pro provádění stavebních úprav a přístavby je nutno dodržet podmínky stanovené v  Závazném stanovisku  Odboru stavební a životního prostředí MěÚ Nové Město na Moravě, jako místně a věcně příslušného orgánu státní památkové péče, vydaného dne 18.8.2025.</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přípojek, atd.).</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práce s vlivem na okolní prostředí nesmějí probíhat v pracovní dny od 18:00 hod. do 07:00 hod., o sobotách od 16:00 hod. do 08:00 hod., o nedělích a svátcích vůbec, pokud nebude zápisem do stavebního deníku dohodnuto jinak.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je oprávněn rozhodnout o ponechání některých prvků a materiálů, které nebudou odpadem, pro vlastní potřebu.</w:t>
      </w:r>
    </w:p>
    <w:p>
      <w:pPr>
        <w:pStyle w:val="Normal"/>
        <w:numPr>
          <w:ilvl w:val="0"/>
          <w:numId w:val="18"/>
        </w:numPr>
        <w:tabs>
          <w:tab w:val="clear" w:pos="709"/>
          <w:tab w:val="left" w:pos="426" w:leader="none"/>
          <w:tab w:val="left" w:pos="851" w:leader="none"/>
          <w:tab w:val="left" w:pos="1134" w:leader="none"/>
        </w:tabs>
        <w:suppressAutoHyphens w:val="false"/>
        <w:spacing w:before="80" w:after="0"/>
        <w:jc w:val="both"/>
        <w:rPr>
          <w:rFonts w:cs="Arial"/>
          <w:b/>
          <w:b/>
        </w:rPr>
      </w:pPr>
      <w:r>
        <w:rPr>
          <w:rFonts w:cs="Arial"/>
          <w:b/>
        </w:rPr>
        <w:t>zhotovitel je povinen na převzatém staveništi umožnit souběžnou instalaci vybavení interiéru a současně je povinen spolupracovat s dodavatelem interiéru na koordinaci obou záměrů v souladu se závazným harmonogramem stavby.</w:t>
      </w:r>
    </w:p>
    <w:p>
      <w:pPr>
        <w:pStyle w:val="Normal"/>
        <w:tabs>
          <w:tab w:val="clear" w:pos="709"/>
          <w:tab w:val="left" w:pos="426" w:leader="none"/>
          <w:tab w:val="left" w:pos="851" w:leader="none"/>
          <w:tab w:val="left" w:pos="1134" w:leader="none"/>
        </w:tabs>
        <w:suppressAutoHyphens w:val="false"/>
        <w:spacing w:before="80" w:after="0"/>
        <w:ind w:start="737" w:hanging="0"/>
        <w:jc w:val="both"/>
        <w:rPr>
          <w:rFonts w:cs="Arial"/>
          <w:b/>
          <w:b/>
        </w:rPr>
      </w:pPr>
      <w:r>
        <w:rPr>
          <w:rFonts w:cs="Arial"/>
          <w:b/>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uvedených v čl. 1, odst. 8 a 9 této smlouvy majících vliv na zvýšení sjednané ceny díla, případně termín plnění, budou smluvními stranami upraveny dodatkem ke smlouvě o dílo,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se zhotovitel současně zavazuje, že termín dokončení díla bude dodržen i v případě zvýšení rozsahu díla, které svým rozsahem nepřesáhne 8 %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zhotoviteli změnou rozsahu díla nevzniká nárok na náhradu škody při dodržení ustanovení čl. 1, odst. 9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zhotoviteli snížením rozsahu díla nevzniká nárok na náhradu škody při dodržení ustanovení čl. 1, odst. 9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ListParagraph"/>
        <w:rPr/>
      </w:pPr>
      <w:r>
        <w:rPr/>
      </w:r>
    </w:p>
    <w:p>
      <w:pPr>
        <w:pStyle w:val="ListParagraph"/>
        <w:tabs>
          <w:tab w:val="clear" w:pos="709"/>
          <w:tab w:val="left" w:pos="426" w:leader="none"/>
          <w:tab w:val="left" w:pos="851" w:leader="none"/>
          <w:tab w:val="left" w:pos="1134" w:leader="none"/>
        </w:tabs>
        <w:jc w:val="center"/>
        <w:rPr>
          <w:rFonts w:cs="Arial"/>
        </w:rPr>
      </w:pPr>
      <w:bookmarkStart w:id="6" w:name="_Hlk213842077"/>
      <w:r>
        <w:rPr>
          <w:rFonts w:cs="Arial"/>
        </w:rPr>
        <w:t>Zhotovitel bere na vědomí, že na dílo dle této smlouvy bude objednatel čerpat finanční prostředky z dotačního programu IROP, výzva č.5, registrační číslo projektu CZ.06.05.01/00/22_070/0006796.</w:t>
      </w:r>
      <w:bookmarkEnd w:id="6"/>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32"/>
        </w:numPr>
        <w:tabs>
          <w:tab w:val="clear" w:pos="709"/>
          <w:tab w:val="left" w:pos="426" w:leader="none"/>
          <w:tab w:val="left" w:pos="851" w:leader="none"/>
          <w:tab w:val="left" w:pos="1134" w:leader="none"/>
        </w:tabs>
        <w:suppressAutoHyphens w:val="false"/>
        <w:ind w:start="426" w:hanging="426"/>
        <w:jc w:val="both"/>
        <w:rPr>
          <w:rFonts w:cs="Arial"/>
          <w:b/>
          <w:b/>
        </w:rPr>
      </w:pPr>
      <w:r>
        <w:rPr>
          <w:rFonts w:cs="Arial"/>
        </w:rPr>
        <w:t xml:space="preserve">Zhotovitel zahájí realizaci díla dne 4.5.2026. Zhotovitel se zavazuje, že </w:t>
      </w:r>
      <w:r>
        <w:rPr>
          <w:rFonts w:cs="Arial"/>
          <w:b/>
        </w:rPr>
        <w:t>dílo dokončí a objednateli předá nejpozději dne 30.4.2027.</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32"/>
        </w:numPr>
        <w:tabs>
          <w:tab w:val="clear" w:pos="709"/>
          <w:tab w:val="left" w:pos="426" w:leader="none"/>
          <w:tab w:val="left" w:pos="851" w:leader="none"/>
          <w:tab w:val="left" w:pos="1134" w:leader="none"/>
        </w:tabs>
        <w:suppressAutoHyphens w:val="false"/>
        <w:ind w:start="426" w:hanging="426"/>
        <w:jc w:val="both"/>
        <w:rPr>
          <w:rFonts w:cs="Arial"/>
        </w:rPr>
      </w:pPr>
      <w:r>
        <w:rPr>
          <w:rFonts w:cs="Arial"/>
        </w:rPr>
        <w:t>Staveniště bude zhotoviteli předáno v den zahájení realizace díla, pokud nebude dohodnuto jinak.</w:t>
      </w:r>
    </w:p>
    <w:p>
      <w:pPr>
        <w:pStyle w:val="ListParagraph"/>
        <w:rPr>
          <w:rFonts w:cs="Arial"/>
        </w:rPr>
      </w:pPr>
      <w:r>
        <w:rPr>
          <w:rFonts w:cs="Arial"/>
        </w:rPr>
      </w:r>
    </w:p>
    <w:p>
      <w:pPr>
        <w:pStyle w:val="Normal"/>
        <w:tabs>
          <w:tab w:val="clear" w:pos="709"/>
          <w:tab w:val="left" w:pos="426" w:leader="none"/>
          <w:tab w:val="left" w:pos="851" w:leader="none"/>
          <w:tab w:val="left" w:pos="1134" w:leader="none"/>
        </w:tabs>
        <w:suppressAutoHyphens w:val="false"/>
        <w:jc w:val="both"/>
        <w:rPr>
          <w:rFonts w:cs="Arial"/>
          <w:b/>
          <w:b/>
        </w:rPr>
      </w:pPr>
      <w:r>
        <w:rPr>
          <w:rFonts w:cs="Arial"/>
          <w:b/>
        </w:rPr>
        <w:t xml:space="preserve">3.   Realizace díla bude probíhat podle závazného harmonogramu stavby, který je nedílnou  </w:t>
      </w:r>
    </w:p>
    <w:p>
      <w:pPr>
        <w:pStyle w:val="Normal"/>
        <w:tabs>
          <w:tab w:val="clear" w:pos="709"/>
          <w:tab w:val="left" w:pos="426" w:leader="none"/>
          <w:tab w:val="left" w:pos="851" w:leader="none"/>
          <w:tab w:val="left" w:pos="1134" w:leader="none"/>
        </w:tabs>
        <w:suppressAutoHyphens w:val="false"/>
        <w:jc w:val="both"/>
        <w:rPr>
          <w:rFonts w:cs="Arial"/>
        </w:rPr>
      </w:pPr>
      <w:r>
        <w:rPr>
          <w:rFonts w:cs="Arial"/>
          <w:b/>
        </w:rPr>
        <w:t xml:space="preserve">      </w:t>
      </w:r>
      <w:r>
        <w:rPr>
          <w:rFonts w:cs="Arial"/>
          <w:b/>
        </w:rPr>
        <w:t xml:space="preserve">součástí této smlouvy a tvoří její přílohu č. 2. </w:t>
      </w:r>
      <w:r>
        <w:rPr>
          <w:rFonts w:cs="Arial"/>
        </w:rPr>
        <w:t xml:space="preserve">Pro realizaci díla jsou v souladu s tímto       </w:t>
      </w:r>
    </w:p>
    <w:p>
      <w:pPr>
        <w:pStyle w:val="Normal"/>
        <w:tabs>
          <w:tab w:val="clear" w:pos="709"/>
          <w:tab w:val="left" w:pos="426" w:leader="none"/>
          <w:tab w:val="left" w:pos="851" w:leader="none"/>
          <w:tab w:val="left" w:pos="1134" w:leader="none"/>
        </w:tabs>
        <w:suppressAutoHyphens w:val="false"/>
        <w:jc w:val="both"/>
        <w:rPr>
          <w:rFonts w:cs="Arial"/>
        </w:rPr>
      </w:pPr>
      <w:r>
        <w:rPr>
          <w:rFonts w:cs="Arial"/>
        </w:rPr>
        <w:t xml:space="preserve">      </w:t>
      </w:r>
      <w:r>
        <w:rPr>
          <w:rFonts w:cs="Arial"/>
        </w:rPr>
        <w:t>harmonogramem stanoveny tyto dílčí termíny plnění (milníky):</w:t>
      </w:r>
    </w:p>
    <w:p>
      <w:pPr>
        <w:pStyle w:val="Normal"/>
        <w:tabs>
          <w:tab w:val="clear" w:pos="709"/>
          <w:tab w:val="left" w:pos="426" w:leader="none"/>
          <w:tab w:val="left" w:pos="851" w:leader="none"/>
          <w:tab w:val="left" w:pos="1134" w:leader="none"/>
        </w:tabs>
        <w:suppressAutoHyphens w:val="false"/>
        <w:jc w:val="both"/>
        <w:rPr>
          <w:rFonts w:cs="Arial"/>
        </w:rPr>
      </w:pPr>
      <w:r>
        <w:rPr>
          <w:rFonts w:cs="Arial"/>
        </w:rPr>
      </w:r>
    </w:p>
    <w:p>
      <w:pPr>
        <w:pStyle w:val="ListParagraph"/>
        <w:numPr>
          <w:ilvl w:val="0"/>
          <w:numId w:val="33"/>
        </w:numPr>
        <w:tabs>
          <w:tab w:val="clear" w:pos="709"/>
          <w:tab w:val="left" w:pos="426" w:leader="none"/>
          <w:tab w:val="left" w:pos="851" w:leader="none"/>
          <w:tab w:val="left" w:pos="1134" w:leader="none"/>
        </w:tabs>
        <w:suppressAutoHyphens w:val="false"/>
        <w:jc w:val="both"/>
        <w:rPr>
          <w:rFonts w:cs="Arial"/>
          <w:b/>
          <w:b/>
        </w:rPr>
      </w:pPr>
      <w:r>
        <w:rPr>
          <w:rFonts w:cs="Arial"/>
          <w:b/>
        </w:rPr>
        <w:t>Milník č.1 – 18.9.2026</w:t>
      </w:r>
    </w:p>
    <w:p>
      <w:pPr>
        <w:pStyle w:val="ListParagraph"/>
        <w:tabs>
          <w:tab w:val="clear" w:pos="709"/>
          <w:tab w:val="left" w:pos="426" w:leader="none"/>
          <w:tab w:val="left" w:pos="851" w:leader="none"/>
          <w:tab w:val="left" w:pos="1134" w:leader="none"/>
        </w:tabs>
        <w:suppressAutoHyphens w:val="false"/>
        <w:jc w:val="both"/>
        <w:rPr>
          <w:rFonts w:cs="Arial"/>
          <w:b/>
          <w:b/>
        </w:rPr>
      </w:pPr>
      <w:r>
        <w:rPr>
          <w:rFonts w:cs="Arial"/>
          <w:b/>
        </w:rPr>
        <w:t xml:space="preserve">Výměna zdroje tepla </w:t>
      </w:r>
    </w:p>
    <w:p>
      <w:pPr>
        <w:pStyle w:val="ListParagraph"/>
        <w:numPr>
          <w:ilvl w:val="0"/>
          <w:numId w:val="10"/>
        </w:numPr>
        <w:tabs>
          <w:tab w:val="clear" w:pos="709"/>
          <w:tab w:val="left" w:pos="426" w:leader="none"/>
          <w:tab w:val="left" w:pos="851" w:leader="none"/>
          <w:tab w:val="left" w:pos="1134" w:leader="none"/>
        </w:tabs>
        <w:suppressAutoHyphens w:val="false"/>
        <w:jc w:val="both"/>
        <w:rPr/>
      </w:pPr>
      <w:r>
        <w:rPr/>
        <w:t>musí být dokončena kompletní výměna stávajícího zdroje tepla, jeho napojení na otopnou soustavu a zprovoznění nového systému vytápění tak, aby bylo možné plnohodnotně temperovat a vytápět objekt muzea. Milník je splněn po úspěšném dokončení minimálně 14denního zkušebního provozu nového zdroje tepla s ověřením jeho funkčnosti.</w:t>
      </w:r>
    </w:p>
    <w:p>
      <w:pPr>
        <w:pStyle w:val="ListParagraph"/>
        <w:numPr>
          <w:ilvl w:val="0"/>
          <w:numId w:val="33"/>
        </w:numPr>
        <w:tabs>
          <w:tab w:val="clear" w:pos="709"/>
          <w:tab w:val="left" w:pos="426" w:leader="none"/>
          <w:tab w:val="left" w:pos="851" w:leader="none"/>
          <w:tab w:val="left" w:pos="1134" w:leader="none"/>
        </w:tabs>
        <w:suppressAutoHyphens w:val="false"/>
        <w:jc w:val="both"/>
        <w:rPr>
          <w:b/>
          <w:b/>
        </w:rPr>
      </w:pPr>
      <w:r>
        <w:rPr>
          <w:b/>
        </w:rPr>
        <w:t>Milník č.2 - 4.1.2027</w:t>
      </w:r>
    </w:p>
    <w:p>
      <w:pPr>
        <w:pStyle w:val="ListParagraph"/>
        <w:tabs>
          <w:tab w:val="clear" w:pos="709"/>
          <w:tab w:val="left" w:pos="426" w:leader="none"/>
          <w:tab w:val="left" w:pos="851" w:leader="none"/>
          <w:tab w:val="left" w:pos="1134" w:leader="none"/>
        </w:tabs>
        <w:suppressAutoHyphens w:val="false"/>
        <w:jc w:val="both"/>
        <w:rPr>
          <w:b/>
          <w:b/>
        </w:rPr>
      </w:pPr>
      <w:r>
        <w:rPr>
          <w:b/>
        </w:rPr>
        <w:t xml:space="preserve">Zahájení souběžných prací zhotovitele interiérů (částečná stavební připravenost) </w:t>
      </w:r>
    </w:p>
    <w:p>
      <w:pPr>
        <w:pStyle w:val="ListParagraph"/>
        <w:numPr>
          <w:ilvl w:val="0"/>
          <w:numId w:val="10"/>
        </w:numPr>
        <w:tabs>
          <w:tab w:val="clear" w:pos="709"/>
          <w:tab w:val="left" w:pos="426" w:leader="none"/>
          <w:tab w:val="left" w:pos="851" w:leader="none"/>
          <w:tab w:val="left" w:pos="1134" w:leader="none"/>
        </w:tabs>
        <w:suppressAutoHyphens w:val="false"/>
        <w:jc w:val="both"/>
        <w:rPr>
          <w:rFonts w:cs="Arial"/>
        </w:rPr>
      </w:pPr>
      <w:r>
        <w:rPr/>
        <w:t>musí být zhotovitelem stavební části dokončeny práce v rozsahu umožňujícím vstup zhotovitele interiérů do vymezených prostor a zahájení vybraných činností. Prostory musí být bez</w:t>
      </w:r>
      <w:bookmarkStart w:id="7" w:name="_GoBack"/>
      <w:bookmarkEnd w:id="7"/>
      <w:r>
        <w:rPr/>
        <w:t xml:space="preserve">pečně přístupné, uzavřené, čisté, osvětlené a temperované, přičemž stavební práce budou koordinovány tak, aby neomezovaly činnost zhotovitele interiérů. </w:t>
      </w:r>
    </w:p>
    <w:p>
      <w:pPr>
        <w:pStyle w:val="ListParagraph"/>
        <w:numPr>
          <w:ilvl w:val="0"/>
          <w:numId w:val="33"/>
        </w:numPr>
        <w:tabs>
          <w:tab w:val="clear" w:pos="709"/>
          <w:tab w:val="left" w:pos="426" w:leader="none"/>
          <w:tab w:val="left" w:pos="851" w:leader="none"/>
          <w:tab w:val="left" w:pos="1134" w:leader="none"/>
        </w:tabs>
        <w:suppressAutoHyphens w:val="false"/>
        <w:jc w:val="both"/>
        <w:rPr>
          <w:rFonts w:cs="Arial"/>
          <w:b/>
          <w:b/>
        </w:rPr>
      </w:pPr>
      <w:r>
        <w:rPr>
          <w:rFonts w:cs="Arial"/>
          <w:b/>
        </w:rPr>
        <w:t>Milník č.3 – 26.2.2027</w:t>
      </w:r>
    </w:p>
    <w:p>
      <w:pPr>
        <w:pStyle w:val="ListParagraph"/>
        <w:tabs>
          <w:tab w:val="clear" w:pos="709"/>
          <w:tab w:val="left" w:pos="426" w:leader="none"/>
          <w:tab w:val="left" w:pos="851" w:leader="none"/>
          <w:tab w:val="left" w:pos="1134" w:leader="none"/>
        </w:tabs>
        <w:suppressAutoHyphens w:val="false"/>
        <w:jc w:val="both"/>
        <w:rPr/>
      </w:pPr>
      <w:r>
        <w:rPr>
          <w:b/>
        </w:rPr>
        <w:t>Předání prostor pro montáž interiérů</w:t>
      </w:r>
    </w:p>
    <w:p>
      <w:pPr>
        <w:pStyle w:val="ListParagraph"/>
        <w:numPr>
          <w:ilvl w:val="0"/>
          <w:numId w:val="10"/>
        </w:numPr>
        <w:tabs>
          <w:tab w:val="clear" w:pos="709"/>
          <w:tab w:val="left" w:pos="426" w:leader="none"/>
          <w:tab w:val="left" w:pos="851" w:leader="none"/>
          <w:tab w:val="left" w:pos="1134" w:leader="none"/>
        </w:tabs>
        <w:suppressAutoHyphens w:val="false"/>
        <w:jc w:val="both"/>
        <w:rPr>
          <w:rFonts w:cs="Arial"/>
        </w:rPr>
      </w:pPr>
      <w:r>
        <w:rPr/>
        <w:t>všechny vnitřní prostory určené k instalaci interiérového vybavení musí být stavebně dokončeny v rozsahu dle projektové dokumentace, zbaveny stavebních vad a nedodělků bránících instalaci interiérů a připraveny k zahájení montážních prací zhotovitele interiérů.</w:t>
      </w:r>
    </w:p>
    <w:p>
      <w:pPr>
        <w:pStyle w:val="ListParagraph"/>
        <w:numPr>
          <w:ilvl w:val="0"/>
          <w:numId w:val="33"/>
        </w:numPr>
        <w:tabs>
          <w:tab w:val="clear" w:pos="709"/>
          <w:tab w:val="left" w:pos="426" w:leader="none"/>
          <w:tab w:val="left" w:pos="851" w:leader="none"/>
          <w:tab w:val="left" w:pos="1134" w:leader="none"/>
        </w:tabs>
        <w:suppressAutoHyphens w:val="false"/>
        <w:jc w:val="both"/>
        <w:rPr>
          <w:b/>
          <w:b/>
        </w:rPr>
      </w:pPr>
      <w:r>
        <w:rPr>
          <w:b/>
        </w:rPr>
        <w:t>Milník č.4 – 19.4.2027</w:t>
      </w:r>
    </w:p>
    <w:p>
      <w:pPr>
        <w:pStyle w:val="ListParagraph"/>
        <w:tabs>
          <w:tab w:val="clear" w:pos="709"/>
          <w:tab w:val="left" w:pos="426" w:leader="none"/>
          <w:tab w:val="left" w:pos="851" w:leader="none"/>
          <w:tab w:val="left" w:pos="1134" w:leader="none"/>
        </w:tabs>
        <w:suppressAutoHyphens w:val="false"/>
        <w:jc w:val="both"/>
        <w:rPr/>
      </w:pPr>
      <w:r>
        <w:rPr>
          <w:b/>
        </w:rPr>
        <w:t>Zahájení kompletace medií</w:t>
      </w:r>
    </w:p>
    <w:p>
      <w:pPr>
        <w:pStyle w:val="ListParagraph"/>
        <w:numPr>
          <w:ilvl w:val="0"/>
          <w:numId w:val="10"/>
        </w:numPr>
        <w:tabs>
          <w:tab w:val="clear" w:pos="709"/>
          <w:tab w:val="left" w:pos="426" w:leader="none"/>
          <w:tab w:val="left" w:pos="851" w:leader="none"/>
          <w:tab w:val="left" w:pos="1134" w:leader="none"/>
        </w:tabs>
        <w:suppressAutoHyphens w:val="false"/>
        <w:jc w:val="both"/>
        <w:rPr>
          <w:rFonts w:ascii="Times New Roman" w:hAnsi="Times New Roman"/>
          <w:sz w:val="24"/>
          <w:szCs w:val="24"/>
          <w:lang w:eastAsia="cs-CZ"/>
        </w:rPr>
      </w:pPr>
      <w:r>
        <w:rPr/>
        <w:t>zahájení kompletace médií (např. montáž zásuvek, vypínačů a dalších koncových prvků) nastává po dokončení interiérového vybavení.</w:t>
      </w:r>
    </w:p>
    <w:p>
      <w:pPr>
        <w:pStyle w:val="NormalWeb"/>
        <w:spacing w:before="280" w:after="280"/>
        <w:ind w:start="720" w:hanging="0"/>
        <w:rPr>
          <w:rFonts w:ascii="Arial" w:hAnsi="Arial"/>
          <w:sz w:val="22"/>
          <w:szCs w:val="22"/>
          <w:lang w:eastAsia="zh-CN"/>
        </w:rPr>
      </w:pPr>
      <w:r>
        <w:rPr>
          <w:rFonts w:ascii="Arial" w:hAnsi="Arial"/>
          <w:sz w:val="22"/>
          <w:szCs w:val="22"/>
          <w:lang w:eastAsia="zh-CN"/>
        </w:rPr>
        <w:t>V případě posunutí termínu dokončení interiérového vybavení se termín tohoto milníku posouvá o stejný počet dnů.</w:t>
      </w:r>
    </w:p>
    <w:p>
      <w:pPr>
        <w:pStyle w:val="ListParagraph"/>
        <w:tabs>
          <w:tab w:val="clear" w:pos="709"/>
          <w:tab w:val="left" w:pos="426" w:leader="none"/>
          <w:tab w:val="left" w:pos="851" w:leader="none"/>
          <w:tab w:val="left" w:pos="1134" w:leader="none"/>
        </w:tabs>
        <w:suppressAutoHyphens w:val="false"/>
        <w:jc w:val="both"/>
        <w:rPr/>
      </w:pPr>
      <w:r>
        <w:rPr/>
      </w:r>
    </w:p>
    <w:p>
      <w:pPr>
        <w:pStyle w:val="Normal"/>
        <w:numPr>
          <w:ilvl w:val="0"/>
          <w:numId w:val="22"/>
        </w:numPr>
        <w:tabs>
          <w:tab w:val="clear" w:pos="709"/>
          <w:tab w:val="left" w:pos="426" w:leader="none"/>
        </w:tabs>
        <w:ind w:star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pPr>
        <w:pStyle w:val="Normal"/>
        <w:tabs>
          <w:tab w:val="clear" w:pos="709"/>
          <w:tab w:val="left" w:pos="426" w:leader="none"/>
          <w:tab w:val="left" w:pos="851" w:leader="none"/>
          <w:tab w:val="left" w:pos="1134" w:leader="none"/>
        </w:tabs>
        <w:ind w:start="426" w:hanging="0"/>
        <w:jc w:val="both"/>
        <w:rPr>
          <w:rFonts w:cs="Arial"/>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23"/>
        </w:numPr>
        <w:tabs>
          <w:tab w:val="clear" w:pos="709"/>
          <w:tab w:val="left" w:pos="426" w:leader="none"/>
        </w:tabs>
        <w:ind w:start="426" w:hanging="426"/>
        <w:jc w:val="both"/>
        <w:rPr/>
      </w:pPr>
      <w:r>
        <w:rPr>
          <w:rFonts w:cs="Arial"/>
        </w:rPr>
        <w:t xml:space="preserve">Realizace díla bude probíhat podle závazného harmonogramu stavby, který je nedílnou součástí této smlouvy a tvoří její přílohu č. 2. </w:t>
      </w:r>
    </w:p>
    <w:p>
      <w:pPr>
        <w:pStyle w:val="Normal"/>
        <w:tabs>
          <w:tab w:val="clear" w:pos="709"/>
          <w:tab w:val="left" w:pos="426" w:leader="none"/>
        </w:tabs>
        <w:ind w:start="426" w:hanging="0"/>
        <w:jc w:val="both"/>
        <w:rPr/>
      </w:pPr>
      <w:r>
        <w:rPr/>
      </w:r>
    </w:p>
    <w:p>
      <w:pPr>
        <w:pStyle w:val="Normal"/>
        <w:numPr>
          <w:ilvl w:val="0"/>
          <w:numId w:val="23"/>
        </w:numPr>
        <w:tabs>
          <w:tab w:val="clear" w:pos="709"/>
          <w:tab w:val="left" w:pos="426" w:leader="none"/>
        </w:tabs>
        <w:ind w:start="426" w:hanging="426"/>
        <w:jc w:val="both"/>
        <w:rPr/>
      </w:pPr>
      <w:r>
        <w:rPr>
          <w:rFonts w:cs="Arial"/>
        </w:rPr>
        <w:t>Objednatel si vyhrazuje právo po projednání se zhotovitelem upravit harmonogram postupu prací či organizaci výstavby zejména s ohledem na souběžnou instalaci vybavení interiéru.</w:t>
      </w:r>
    </w:p>
    <w:p>
      <w:pPr>
        <w:pStyle w:val="ListParagraph"/>
        <w:tabs>
          <w:tab w:val="clear" w:pos="709"/>
          <w:tab w:val="left" w:pos="426" w:leader="none"/>
        </w:tabs>
        <w:ind w:start="0" w:hanging="0"/>
        <w:jc w:val="both"/>
        <w:rPr/>
      </w:pPr>
      <w:r>
        <w:rPr/>
      </w:r>
    </w:p>
    <w:p>
      <w:pPr>
        <w:pStyle w:val="Normal"/>
        <w:numPr>
          <w:ilvl w:val="0"/>
          <w:numId w:val="23"/>
        </w:numPr>
        <w:tabs>
          <w:tab w:val="clear" w:pos="709"/>
          <w:tab w:val="left" w:pos="426" w:leader="none"/>
        </w:tabs>
        <w:ind w:star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 xml:space="preserve">1. Místem plnění a předání díla je kat. území Nové Město na Moravě, objekt Horáckého muzea –  </w:t>
      </w:r>
    </w:p>
    <w:p>
      <w:pPr>
        <w:pStyle w:val="Normal"/>
        <w:tabs>
          <w:tab w:val="clear" w:pos="709"/>
          <w:tab w:val="left" w:pos="426" w:leader="none"/>
          <w:tab w:val="left" w:pos="851" w:leader="none"/>
          <w:tab w:val="left" w:pos="1134" w:leader="none"/>
        </w:tabs>
        <w:jc w:val="both"/>
        <w:rPr/>
      </w:pPr>
      <w:r>
        <w:rPr>
          <w:rFonts w:cs="Arial"/>
        </w:rPr>
        <w:t xml:space="preserve">    </w:t>
      </w:r>
      <w:r>
        <w:rPr>
          <w:rFonts w:cs="Arial"/>
        </w:rPr>
        <w:t>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3"/>
      <w:r>
        <w:rPr>
          <w:rFonts w:cs="Arial"/>
          <w:b/>
        </w:rPr>
        <w:t>bez DPH</w:t>
      </w:r>
      <w:r>
        <w:rPr>
          <w:rFonts w:cs="Arial"/>
          <w:b/>
        </w:rPr>
      </w:r>
      <w:commentRangeEnd w:id="3"/>
      <w:r>
        <w:commentReference w:id="3"/>
      </w:r>
      <w:r>
        <w:rPr>
          <w:rFonts w:cs="Arial"/>
          <w:b/>
        </w:rPr>
        <w:t>.</w:t>
      </w:r>
      <w:r>
        <w:rPr>
          <w:rFonts w:cs="Arial"/>
        </w:rPr>
        <w:t xml:space="preserve"> K této částce bude připočtena platná sazba DPH. </w:t>
      </w:r>
    </w:p>
    <w:p>
      <w:pPr>
        <w:pStyle w:val="Normal"/>
        <w:tabs>
          <w:tab w:val="clear" w:pos="709"/>
          <w:tab w:val="left" w:pos="426" w:leader="none"/>
          <w:tab w:val="left" w:pos="851" w:leader="none"/>
          <w:tab w:val="left" w:pos="1134" w:leader="none"/>
        </w:tabs>
        <w:ind w:start="426" w:hanging="0"/>
        <w:jc w:val="both"/>
        <w:rPr/>
      </w:pPr>
      <w:r>
        <w:rPr>
          <w:rFonts w:cs="Arial"/>
        </w:rPr>
        <w:t>(dále jen „cena“).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bookmarkStart w:id="8" w:name="_Hlk213917369"/>
      <w:r>
        <w:rPr>
          <w:rFonts w:cs="Arial"/>
        </w:rPr>
        <w:t xml:space="preserve">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 </w:t>
      </w:r>
      <w:bookmarkEnd w:id="8"/>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rFonts w:cs="Arial"/>
        </w:rPr>
      </w:pPr>
      <w:r>
        <w:rPr>
          <w:rFonts w:cs="Arial"/>
        </w:rPr>
        <w:t>Cena v sobě zahrnuje veškeré dodávky, práce a výkony nutné k realizaci celého kompletního díla, specifikovaného touto smlouvou.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Cena může být změněna pouze v těchto případech:</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ab/>
        <w:t>přičemž k této situaci může dojít mimo jiné když:</w:t>
      </w:r>
    </w:p>
    <w:p>
      <w:pPr>
        <w:pStyle w:val="Normal"/>
        <w:numPr>
          <w:ilvl w:val="0"/>
          <w:numId w:val="27"/>
        </w:numPr>
        <w:tabs>
          <w:tab w:val="clear" w:pos="709"/>
          <w:tab w:val="left" w:pos="426" w:leader="none"/>
          <w:tab w:val="left" w:pos="851" w:leader="none"/>
          <w:tab w:val="left" w:pos="1134" w:leader="none"/>
          <w:tab w:val="left" w:pos="1418" w:leader="none"/>
        </w:tabs>
        <w:ind w:start="1418" w:hanging="284"/>
        <w:jc w:val="both"/>
        <w:rPr>
          <w:rFonts w:cs="Arial"/>
        </w:rPr>
      </w:pPr>
      <w:r>
        <w:rPr>
          <w:rFonts w:cs="Arial"/>
        </w:rPr>
        <w:t>objednatel požaduje provést práce, které nejsou v předmětu díla;</w:t>
      </w:r>
    </w:p>
    <w:p>
      <w:pPr>
        <w:pStyle w:val="Normal"/>
        <w:numPr>
          <w:ilvl w:val="0"/>
          <w:numId w:val="27"/>
        </w:numPr>
        <w:tabs>
          <w:tab w:val="clear" w:pos="709"/>
          <w:tab w:val="left" w:pos="426" w:leader="none"/>
          <w:tab w:val="left" w:pos="851" w:leader="none"/>
          <w:tab w:val="left" w:pos="1134" w:leader="none"/>
          <w:tab w:val="left" w:pos="1418" w:leader="none"/>
        </w:tabs>
        <w:ind w:start="1418" w:hanging="284"/>
        <w:jc w:val="both"/>
        <w:rPr/>
      </w:pPr>
      <w:r>
        <w:rPr>
          <w:rFonts w:cs="Arial"/>
        </w:rPr>
        <w:t>objednatel požaduje vypustit některé práce, které jsou předmětem díla;</w:t>
      </w:r>
    </w:p>
    <w:p>
      <w:pPr>
        <w:pStyle w:val="Normal"/>
        <w:numPr>
          <w:ilvl w:val="0"/>
          <w:numId w:val="27"/>
        </w:numPr>
        <w:tabs>
          <w:tab w:val="clear" w:pos="709"/>
          <w:tab w:val="left" w:pos="426" w:leader="none"/>
          <w:tab w:val="left" w:pos="851" w:leader="none"/>
          <w:tab w:val="left" w:pos="1134" w:leader="none"/>
          <w:tab w:val="left" w:pos="1418" w:leader="none"/>
        </w:tabs>
        <w:ind w:start="1418" w:hanging="284"/>
        <w:jc w:val="both"/>
        <w:rPr/>
      </w:pPr>
      <w:r>
        <w:rPr>
          <w:rFonts w:cs="Arial"/>
        </w:rPr>
        <w:t>při realizaci předmětu díla se zjistí skutečnosti, které nebyly v době podpisu této smlouvy známy a zhotovitel je nezavinil ani nemohl předvídat a mají vliv na cenu díla;</w:t>
      </w:r>
    </w:p>
    <w:p>
      <w:pPr>
        <w:pStyle w:val="Normal"/>
        <w:numPr>
          <w:ilvl w:val="0"/>
          <w:numId w:val="27"/>
        </w:numPr>
        <w:tabs>
          <w:tab w:val="clear" w:pos="709"/>
          <w:tab w:val="left" w:pos="426" w:leader="none"/>
          <w:tab w:val="left" w:pos="851" w:leader="none"/>
          <w:tab w:val="left" w:pos="1134" w:leader="none"/>
          <w:tab w:val="left" w:pos="1418" w:leader="none"/>
        </w:tabs>
        <w:ind w:start="1418" w:hanging="284"/>
        <w:jc w:val="both"/>
        <w:rPr/>
      </w:pPr>
      <w:r>
        <w:rPr>
          <w:rFonts w:cs="Arial"/>
        </w:rPr>
        <w:t xml:space="preserve">při realizaci předmětu díla se zjistí skutečnosti odlišné od dokumentace předané objednatelem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Při změnách – méněpracích bude změna ceny určena tak, že se zruší příslušná část ceny z položkového rozpočtu, který tvoří přílohu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pokud nelze použít způsob uvedený pod písm. a) nebo b), pak hodinovou sazbou ve výši 325,-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nebo budou nižší.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1"/>
        </w:numPr>
        <w:tabs>
          <w:tab w:val="clear" w:pos="709"/>
          <w:tab w:val="left" w:pos="426" w:leader="none"/>
          <w:tab w:val="left" w:pos="851" w:leader="none"/>
          <w:tab w:val="left" w:pos="1134" w:leader="none"/>
        </w:tabs>
        <w:ind w:star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start="0" w:hanging="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start="426" w:hanging="426"/>
        <w:jc w:val="both"/>
        <w:rPr>
          <w:rFonts w:cs="Arial"/>
          <w:b/>
          <w:b/>
          <w:color w:val="0000FF"/>
        </w:rPr>
      </w:pPr>
      <w:r>
        <w:rPr>
          <w:rFonts w:cs="Arial"/>
          <w:b/>
          <w:color w:val="0000FF"/>
        </w:rPr>
      </w:r>
    </w:p>
    <w:p>
      <w:pPr>
        <w:pStyle w:val="Normal"/>
        <w:numPr>
          <w:ilvl w:val="0"/>
          <w:numId w:val="48"/>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vystavit měsíčně, dle skutečně provedených a objednatelem odsouhlasených prací, fakturu – daňový doklad.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start="400" w:hanging="400"/>
        <w:jc w:val="both"/>
        <w:rPr>
          <w:rFonts w:cs="Arial"/>
        </w:rPr>
      </w:pPr>
      <w:r>
        <w:rPr>
          <w:rFonts w:cs="Arial"/>
        </w:rPr>
      </w:r>
    </w:p>
    <w:p>
      <w:pPr>
        <w:pStyle w:val="Normal"/>
        <w:numPr>
          <w:ilvl w:val="0"/>
          <w:numId w:val="49"/>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0"/>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1"/>
        </w:numPr>
        <w:tabs>
          <w:tab w:val="clear" w:pos="709"/>
          <w:tab w:val="left" w:pos="426" w:leader="none"/>
          <w:tab w:val="left" w:pos="851" w:leader="none"/>
          <w:tab w:val="left" w:pos="1100" w:leader="none"/>
          <w:tab w:val="left" w:pos="1134" w:leader="none"/>
        </w:tabs>
        <w:ind w:star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2"/>
        </w:numPr>
        <w:tabs>
          <w:tab w:val="clear" w:pos="709"/>
          <w:tab w:val="left" w:pos="426" w:leader="none"/>
          <w:tab w:val="left" w:pos="851" w:leader="none"/>
          <w:tab w:val="left" w:pos="1100" w:leader="none"/>
          <w:tab w:val="left" w:pos="1134" w:leader="none"/>
        </w:tabs>
        <w:ind w:start="400" w:hanging="400"/>
        <w:jc w:val="both"/>
        <w:rPr/>
      </w:pPr>
      <w:r>
        <w:rPr>
          <w:rFonts w:cs="Arial"/>
        </w:rPr>
        <w:t>Platby poukáže objednatel bezhotovostně na účet zhotovitele na základě faktur, oprávněně vystavených zhotovitelem.</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4"/>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start="400" w:hanging="400"/>
        <w:rPr>
          <w:rFonts w:cs="Arial"/>
          <w:shd w:fill="00DCFF" w:val="clear"/>
        </w:rPr>
      </w:pPr>
      <w:r>
        <w:rPr>
          <w:rFonts w:cs="Arial"/>
          <w:shd w:fill="00DCFF" w:val="clear"/>
        </w:rPr>
      </w:r>
    </w:p>
    <w:p>
      <w:pPr>
        <w:pStyle w:val="Normal"/>
        <w:numPr>
          <w:ilvl w:val="0"/>
          <w:numId w:val="55"/>
        </w:numPr>
        <w:tabs>
          <w:tab w:val="clear" w:pos="709"/>
          <w:tab w:val="left" w:pos="426" w:leader="none"/>
          <w:tab w:val="left" w:pos="851" w:leader="none"/>
          <w:tab w:val="left" w:pos="1100" w:leader="none"/>
          <w:tab w:val="left" w:pos="1134" w:leader="none"/>
        </w:tabs>
        <w:ind w:start="400" w:hanging="400"/>
        <w:jc w:val="both"/>
        <w:rPr/>
      </w:pPr>
      <w:r>
        <w:rPr>
          <w:rFonts w:cs="Arial"/>
        </w:rPr>
        <w:t>Má-li objednatel splatnou pohledávku(y) vůči zhotoviteli včetně případné smluvní pokuty, je oprávněn provést její (jejich) jednostranný zápočet vůči kterékoliv platbě za plnění dle této smlouvy.</w:t>
      </w:r>
    </w:p>
    <w:p>
      <w:pPr>
        <w:pStyle w:val="ListParagraph"/>
        <w:rPr/>
      </w:pPr>
      <w:r>
        <w:rPr/>
      </w:r>
    </w:p>
    <w:p>
      <w:pPr>
        <w:pStyle w:val="Normal"/>
        <w:numPr>
          <w:ilvl w:val="0"/>
          <w:numId w:val="56"/>
        </w:numPr>
        <w:tabs>
          <w:tab w:val="clear" w:pos="709"/>
          <w:tab w:val="left" w:pos="108" w:leader="none"/>
          <w:tab w:val="left" w:pos="426" w:leader="none"/>
          <w:tab w:val="left" w:pos="851" w:leader="none"/>
          <w:tab w:val="left" w:pos="1100" w:leader="none"/>
          <w:tab w:val="left" w:pos="1134" w:leader="none"/>
        </w:tabs>
        <w:ind w:start="397" w:hanging="397"/>
        <w:jc w:val="both"/>
        <w:rPr>
          <w:rFonts w:cs="Arial"/>
        </w:rPr>
      </w:pPr>
      <w:bookmarkStart w:id="9" w:name="_Hlk213750825"/>
      <w:r>
        <w:rPr>
          <w:rFonts w:cs="Arial"/>
        </w:rPr>
        <w:t xml:space="preserve">Objednatel uhradí zhotoviteli oprávněně vystavené faktury až do výše 90 % z celkové sjednané ceny díla. Zbývající část, t.j. 10 % ze sjednané celkové ceny díla uhradí objednatel zhotoviteli do 15 dnů po předání a převzetí díla za podmínky, že zhotovitel předá objednateli bankovní záruku ve smyslu § 2029 a násl. občanského zákoníku ve výši 10% ze sjednané ceny platnou nejméně 290 kalendářních dnů. Z této bankovní záruky musí vyplývat právo objednatele čerpat finanční prostředky v případě, že zhotovitel neodstraní případné vady a nedodělky zjištěné při předání a převzetí díla. </w:t>
      </w:r>
      <w:bookmarkEnd w:id="9"/>
    </w:p>
    <w:p>
      <w:pPr>
        <w:pStyle w:val="Normal"/>
        <w:tabs>
          <w:tab w:val="clear" w:pos="709"/>
          <w:tab w:val="left" w:pos="108" w:leader="none"/>
          <w:tab w:val="left" w:pos="426" w:leader="none"/>
          <w:tab w:val="left" w:pos="851" w:leader="none"/>
          <w:tab w:val="left" w:pos="1100" w:leader="none"/>
          <w:tab w:val="left" w:pos="1134" w:leader="none"/>
        </w:tabs>
        <w:ind w:start="397" w:hanging="0"/>
        <w:jc w:val="both"/>
        <w:rPr>
          <w:rFonts w:cs="Arial"/>
        </w:rPr>
      </w:pPr>
      <w:r>
        <w:rPr>
          <w:rFonts w:cs="Arial"/>
        </w:rPr>
      </w:r>
    </w:p>
    <w:p>
      <w:pPr>
        <w:pStyle w:val="Normal"/>
        <w:numPr>
          <w:ilvl w:val="0"/>
          <w:numId w:val="57"/>
        </w:numPr>
        <w:tabs>
          <w:tab w:val="clear" w:pos="709"/>
          <w:tab w:val="left" w:pos="426" w:leader="none"/>
          <w:tab w:val="left" w:pos="851" w:leader="none"/>
          <w:tab w:val="left" w:pos="1100" w:leader="none"/>
          <w:tab w:val="left" w:pos="1134" w:leader="none"/>
        </w:tabs>
        <w:spacing w:before="100" w:after="100"/>
        <w:ind w:start="397" w:hanging="397"/>
        <w:jc w:val="both"/>
        <w:rPr/>
      </w:pPr>
      <w:r>
        <w:rPr>
          <w:rFonts w:cs="Arial"/>
        </w:rPr>
        <w:t>Bankovní záruku podle předchozího odstavce tohoto článku předloží zhotovitel objednateli v originále listiny nejpozději před zahájením předání a převzetí díla. Pokud zhotovitel tuto bankovní záruku ve sjednané výši a sjednané lhůtě nepředloží, pak dílo není dokončeno a objednatel má právo odmítnout jeho převzetí. Bankovní záruku vrátí objednatel zhotoviteli do 15 dnů po předání a převzetí díla v případě, že se na díle nevyskytnou žádné vady a nedodělky, nebo v případě, že se na díle vyskytnou vady a nedodělky, do 15 dnů po odstranění posledního z nich, nebo po uplynutí doby její splatnosti.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58"/>
        </w:numPr>
        <w:tabs>
          <w:tab w:val="clear" w:pos="709"/>
          <w:tab w:val="left" w:pos="396" w:leader="none"/>
          <w:tab w:val="left" w:pos="426" w:leader="none"/>
          <w:tab w:val="left" w:pos="851" w:leader="none"/>
          <w:tab w:val="left" w:pos="1100" w:leader="none"/>
          <w:tab w:val="left" w:pos="1134" w:leader="none"/>
        </w:tabs>
        <w:ind w:start="397" w:hanging="397"/>
        <w:jc w:val="both"/>
        <w:rPr/>
      </w:pPr>
      <w:r>
        <w:rPr>
          <w:rFonts w:cs="Arial"/>
        </w:rPr>
        <w:t>Bankovní záruku podle předchozích dvou odstavců tohoto článku lze nahradit rovněž složením jistiny ve výši 10 % ze sjednané ceny díla na bankovní účet objednatele vedený u Komerční banky, a.s., č.ú. 6015-1224751/0100, variabilní symbol 330. Složená jistina pak bude plnit funkci bankovní záruky a objednatel tedy bude oprávněn z ní čerpat finanční prostředky v případě, že zhotovitel neodstraní případné vady a nedodělky zjištěné při předání a převzetí díla. Jistina musí být připsána na bankovní účet objednatele nejpozději jeden pracovní den před zahájením předání a převzetí díla. Pokud zhotovitel tuto jistinu ve sjednané výši a sjednané lhůtě nepředloží, pak dílo není dokončeno a objednatel má právo odmítnout jeho převzetí. Jistinu či její zbývající část vrátí objednatel zhotoviteli na jeho účet pod výše uvedeným variabilním symbolem do 15 dnů po předání a převzetí díla v případě, že se na díle nevyskytnou žádné vady a nedodělky. V případě, že se na díle vyskytnou vady a nedodělky, vrátí objednatel zhotoviteli jistinu či její zbývající část do 15 dnů po odstranění posledního z nich. Jistina není úročena.</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59"/>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objednateli předat faktury, protokoly a soupisy provedených prací rovněž elektronicky ve formátu xls, pokud jej o to objednatel požádá.</w:t>
      </w:r>
    </w:p>
    <w:p>
      <w:pPr>
        <w:pStyle w:val="Normal"/>
        <w:tabs>
          <w:tab w:val="clear" w:pos="709"/>
          <w:tab w:val="left" w:pos="426" w:leader="none"/>
          <w:tab w:val="left" w:pos="851" w:leader="none"/>
          <w:tab w:val="left" w:pos="1100" w:leader="none"/>
          <w:tab w:val="left" w:pos="1134" w:leader="none"/>
        </w:tabs>
        <w:jc w:val="both"/>
        <w:rPr/>
      </w:pPr>
      <w:r>
        <w:rPr/>
      </w:r>
    </w:p>
    <w:p>
      <w:pPr>
        <w:pStyle w:val="Normal"/>
        <w:numPr>
          <w:ilvl w:val="0"/>
          <w:numId w:val="60"/>
        </w:numPr>
        <w:tabs>
          <w:tab w:val="clear" w:pos="709"/>
          <w:tab w:val="left" w:pos="426" w:leader="none"/>
          <w:tab w:val="left" w:pos="851" w:leader="none"/>
          <w:tab w:val="left" w:pos="1100" w:leader="none"/>
          <w:tab w:val="left" w:pos="1134" w:leader="none"/>
        </w:tabs>
        <w:ind w:start="400" w:hanging="400"/>
        <w:jc w:val="both"/>
        <w:rPr/>
      </w:pPr>
      <w:r>
        <w:rPr>
          <w:rFonts w:cs="Arial"/>
        </w:rPr>
        <w:t>V případě požadavku objednatele je zhotovitel povinen na každý vystavený účetní a daňový doklad uvést doplňkový text dle požadavku objednatele.</w:t>
      </w:r>
    </w:p>
    <w:p>
      <w:pPr>
        <w:pStyle w:val="ListParagraph"/>
        <w:tabs>
          <w:tab w:val="clear" w:pos="709"/>
          <w:tab w:val="left" w:pos="426" w:leader="none"/>
          <w:tab w:val="left" w:pos="851" w:leader="none"/>
          <w:tab w:val="left" w:pos="1100" w:leader="none"/>
          <w:tab w:val="left" w:pos="1134" w:leader="none"/>
        </w:tabs>
        <w:ind w:start="0" w:hanging="0"/>
        <w:jc w:val="both"/>
        <w:rPr>
          <w:rFonts w:cs="Arial"/>
        </w:rPr>
      </w:pPr>
      <w:r>
        <w:rPr>
          <w:rFonts w:cs="Arial"/>
        </w:rPr>
      </w:r>
    </w:p>
    <w:p>
      <w:pPr>
        <w:pStyle w:val="ListParagraph"/>
        <w:numPr>
          <w:ilvl w:val="0"/>
          <w:numId w:val="61"/>
        </w:numPr>
        <w:tabs>
          <w:tab w:val="clear" w:pos="709"/>
          <w:tab w:val="left" w:pos="426" w:leader="none"/>
          <w:tab w:val="left" w:pos="851" w:leader="none"/>
          <w:tab w:val="left" w:pos="1100" w:leader="none"/>
          <w:tab w:val="left" w:pos="1134" w:leader="none"/>
        </w:tabs>
        <w:ind w:start="397" w:hanging="397"/>
        <w:jc w:val="both"/>
        <w:rPr>
          <w:rFonts w:cs="Arial"/>
        </w:rPr>
      </w:pPr>
      <w:r>
        <w:rPr>
          <w:rFonts w:cs="Arial"/>
        </w:rPr>
        <w:t>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Normal"/>
        <w:tabs>
          <w:tab w:val="clear" w:pos="709"/>
          <w:tab w:val="left" w:pos="336" w:leader="none"/>
          <w:tab w:val="left" w:pos="396" w:leader="none"/>
          <w:tab w:val="left" w:pos="684" w:leader="none"/>
          <w:tab w:val="left" w:pos="1100" w:leader="none"/>
          <w:tab w:val="left" w:pos="1134" w:leader="none"/>
        </w:tabs>
        <w:ind w:start="397" w:hanging="113"/>
        <w:jc w:val="both"/>
        <w:rPr>
          <w:rFonts w:cs="Arial"/>
        </w:rPr>
      </w:pPr>
      <w:r>
        <w:rPr>
          <w:rFonts w:cs="Arial"/>
        </w:rPr>
        <w:t xml:space="preserve">    </w:t>
      </w:r>
      <w:r>
        <w:rPr>
          <w:rFonts w:cs="Arial"/>
        </w:rPr>
        <w:t xml:space="preserve">Bude-li úplata související se zdanitelným plněním směrována zhotovitelem na jiný bankovní        </w:t>
      </w:r>
    </w:p>
    <w:p>
      <w:pPr>
        <w:pStyle w:val="Normal"/>
        <w:tabs>
          <w:tab w:val="clear" w:pos="709"/>
          <w:tab w:val="left" w:pos="336" w:leader="none"/>
          <w:tab w:val="left" w:pos="396" w:leader="none"/>
          <w:tab w:val="left" w:pos="684" w:leader="none"/>
          <w:tab w:val="left" w:pos="1100" w:leader="none"/>
          <w:tab w:val="left" w:pos="1134" w:leader="none"/>
        </w:tabs>
        <w:ind w:start="397" w:hanging="113"/>
        <w:jc w:val="both"/>
        <w:rPr/>
      </w:pPr>
      <w:r>
        <w:rPr>
          <w:rFonts w:cs="Arial"/>
        </w:rPr>
        <w:t xml:space="preserve">    </w:t>
      </w:r>
      <w:r>
        <w:rPr>
          <w:rFonts w:cs="Arial"/>
        </w:rPr>
        <w:t xml:space="preserve">účet, než účet zveřejněný dle ZoDPH, může tato skutečnost rovněž ovlivnit lhůtu splatnosti </w:t>
      </w:r>
    </w:p>
    <w:p>
      <w:pPr>
        <w:pStyle w:val="Normal"/>
        <w:tabs>
          <w:tab w:val="clear" w:pos="709"/>
          <w:tab w:val="left" w:pos="336" w:leader="none"/>
          <w:tab w:val="left" w:pos="396" w:leader="none"/>
          <w:tab w:val="left" w:pos="684" w:leader="none"/>
          <w:tab w:val="left" w:pos="1100" w:leader="none"/>
          <w:tab w:val="left" w:pos="1134" w:leader="none"/>
        </w:tabs>
        <w:ind w:start="397" w:hanging="113"/>
        <w:jc w:val="both"/>
        <w:rPr/>
      </w:pPr>
      <w:r>
        <w:rPr>
          <w:rFonts w:cs="Arial"/>
        </w:rPr>
        <w:t xml:space="preserve">    </w:t>
      </w:r>
      <w:r>
        <w:rPr>
          <w:rFonts w:cs="Arial"/>
        </w:rPr>
        <w:t>finančního závazku. Případné sankce z těchto důvodů pak nepodléhají ujednáním o sankcích.</w:t>
      </w:r>
    </w:p>
    <w:p>
      <w:pPr>
        <w:pStyle w:val="Normal"/>
        <w:tabs>
          <w:tab w:val="clear" w:pos="709"/>
          <w:tab w:val="left" w:pos="426" w:leader="none"/>
          <w:tab w:val="left" w:pos="851" w:leader="none"/>
          <w:tab w:val="left" w:pos="1100" w:leader="none"/>
          <w:tab w:val="left" w:pos="1134" w:leader="none"/>
        </w:tabs>
        <w:ind w:start="400" w:hanging="0"/>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objektu a bytů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Bezprostředně po podpisu této smlouvy předá objednatel zhotoviteli projektovou dokumentaci ve 2 vyhotoveních. Za správnost a úplnost předané dokumentace odpovídá objednatel.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numPr>
          <w:ilvl w:val="0"/>
          <w:numId w:val="9"/>
        </w:numPr>
        <w:tabs>
          <w:tab w:val="clear" w:pos="709"/>
          <w:tab w:val="left" w:pos="426" w:leader="none"/>
          <w:tab w:val="left" w:pos="851" w:leader="none"/>
          <w:tab w:val="left" w:pos="1134" w:leader="none"/>
        </w:tabs>
        <w:spacing w:before="57" w:after="57"/>
        <w:ind w:start="426" w:hanging="426"/>
        <w:jc w:val="both"/>
        <w:rPr/>
      </w:pPr>
      <w:r>
        <w:rPr/>
        <w:t>Délka záruční doby na dílo se vzájemnou dohodou a v souladu s ust. § 2629 a 2619 odst. 2 občanského zákoníku stanovuje v délce 60 měsíců, počínaje převzetím díla od zhotovitele, s výjimkou:</w:t>
      </w:r>
    </w:p>
    <w:p>
      <w:pPr>
        <w:pStyle w:val="Normal"/>
        <w:numPr>
          <w:ilvl w:val="0"/>
          <w:numId w:val="10"/>
        </w:numPr>
        <w:tabs>
          <w:tab w:val="clear" w:pos="709"/>
          <w:tab w:val="left" w:pos="426" w:leader="none"/>
          <w:tab w:val="left" w:pos="851" w:leader="none"/>
          <w:tab w:val="left" w:pos="1134" w:leader="none"/>
        </w:tabs>
        <w:jc w:val="both"/>
        <w:rPr/>
      </w:pPr>
      <w:r>
        <w:rPr>
          <w:rFonts w:cs="Arial"/>
        </w:rPr>
        <w:t>dodávky strojů, zařízení, technologií a výrobků, k nimž budou poskytnuty záruční listy. V tomto případě je záruční doba shodná se zárukou poskytnutou dodavatelem těchto prvků, nejméně však 24 měsíců, počínaje převzetím díla od zhotovitele.</w:t>
      </w:r>
    </w:p>
    <w:p>
      <w:pPr>
        <w:pStyle w:val="Normal"/>
        <w:numPr>
          <w:ilvl w:val="0"/>
          <w:numId w:val="10"/>
        </w:numPr>
        <w:tabs>
          <w:tab w:val="clear" w:pos="709"/>
          <w:tab w:val="left" w:pos="426" w:leader="none"/>
          <w:tab w:val="left" w:pos="851" w:leader="none"/>
          <w:tab w:val="left" w:pos="1134" w:leader="none"/>
        </w:tabs>
        <w:jc w:val="both"/>
        <w:rPr/>
      </w:pPr>
      <w:r>
        <w:rPr>
          <w:rFonts w:cs="Arial"/>
        </w:rPr>
        <w:t xml:space="preserve">malířských a natěračských prací, kde se stanovuje délka záruční doby na 36 měsíců, počínaje převzetím díla od zhotovitele.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star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start="426" w:hanging="0"/>
        <w:jc w:val="both"/>
        <w:rPr/>
      </w:pPr>
      <w:r>
        <w:rPr/>
      </w:r>
    </w:p>
    <w:p>
      <w:pPr>
        <w:pStyle w:val="Normal"/>
        <w:numPr>
          <w:ilvl w:val="0"/>
          <w:numId w:val="9"/>
        </w:numPr>
        <w:tabs>
          <w:tab w:val="clear" w:pos="709"/>
          <w:tab w:val="left" w:pos="426" w:leader="none"/>
          <w:tab w:val="left" w:pos="851" w:leader="none"/>
          <w:tab w:val="left" w:pos="1134" w:leader="none"/>
        </w:tabs>
        <w:ind w:star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bytového domu byl narušen v míře co nejmenší.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4"/>
        </w:numPr>
        <w:tabs>
          <w:tab w:val="clear" w:pos="709"/>
          <w:tab w:val="left" w:pos="426" w:leader="none"/>
        </w:tabs>
        <w:ind w:start="426" w:hanging="426"/>
        <w:jc w:val="both"/>
        <w:rPr/>
      </w:pPr>
      <w:r>
        <w:rPr/>
        <w:t xml:space="preserve">Zhotovitel provede práce podle platných předpisů a podmínek sjednaných touto smlouvou.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4"/>
        </w:numPr>
        <w:tabs>
          <w:tab w:val="clear" w:pos="709"/>
          <w:tab w:val="left" w:pos="426" w:leader="none"/>
        </w:tabs>
        <w:ind w:start="426" w:hanging="426"/>
        <w:jc w:val="both"/>
        <w:rPr/>
      </w:pPr>
      <w:r>
        <w:rPr/>
        <w:t xml:space="preserve">Zhotovitel smí změnit podzhotovitele či osobu, pomocí kterého/které prokazoval v zadávacím řízení splnění kvalifikace, pouze ve výjimečných případech a se souhlasem objednatele. Nový podzhotovitel či osoba musí splňovat kvalifikaci minimálně v rozsahu, v jakém byla původním podzhotovitelem či osobou prokázána v zadávacím řízení, což je zhotovitel povinen doložit.   </w:t>
      </w:r>
    </w:p>
    <w:p>
      <w:pPr>
        <w:pStyle w:val="Normal"/>
        <w:rPr/>
      </w:pPr>
      <w:r>
        <w:rPr/>
      </w:r>
    </w:p>
    <w:p>
      <w:pPr>
        <w:pStyle w:val="Normal"/>
        <w:numPr>
          <w:ilvl w:val="0"/>
          <w:numId w:val="24"/>
        </w:numPr>
        <w:tabs>
          <w:tab w:val="clear" w:pos="709"/>
          <w:tab w:val="left" w:pos="426" w:leader="none"/>
        </w:tabs>
        <w:ind w:star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Zhotovitel se zavazuje, že přebírá veškeré závazky a povinnosti, které pro něho vyplývají z jeho činnosti z právních předpisů platných na úseku životního prostředí zejm. ze zákona č. 541/2020 Sb., o odpadech, v platném znění,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ListParagraph"/>
        <w:rPr/>
      </w:pPr>
      <w:r>
        <w:rPr/>
      </w:r>
    </w:p>
    <w:p>
      <w:pPr>
        <w:pStyle w:val="Normal"/>
        <w:numPr>
          <w:ilvl w:val="0"/>
          <w:numId w:val="24"/>
        </w:numPr>
        <w:tabs>
          <w:tab w:val="clear" w:pos="709"/>
          <w:tab w:val="left" w:pos="426" w:leader="none"/>
        </w:tabs>
        <w:ind w:start="426" w:hanging="426"/>
        <w:jc w:val="both"/>
        <w:rPr/>
      </w:pPr>
      <w:r>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podzhotoviteli.</w:t>
      </w:r>
    </w:p>
    <w:p>
      <w:pPr>
        <w:pStyle w:val="Normal"/>
        <w:tabs>
          <w:tab w:val="clear" w:pos="709"/>
          <w:tab w:val="left" w:pos="426" w:leader="none"/>
        </w:tabs>
        <w:suppressAutoHyphens w:val="false"/>
        <w:ind w:start="426" w:hanging="0"/>
        <w:jc w:val="both"/>
        <w:rPr/>
      </w:pPr>
      <w:r>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suppressAutoHyphens w:val="false"/>
        <w:jc w:val="both"/>
        <w:rPr>
          <w:rFonts w:ascii="Helv" w:hAnsi="Helv" w:cs="Helv"/>
          <w:i/>
          <w:i/>
          <w:iCs/>
          <w:color w:val="000000"/>
          <w:sz w:val="20"/>
          <w:szCs w:val="20"/>
          <w:lang w:eastAsia="cs-CZ"/>
        </w:rPr>
      </w:pPr>
      <w:r>
        <w:rPr>
          <w:rFonts w:cs="Helv" w:ascii="Helv" w:hAnsi="Helv"/>
          <w:i/>
          <w:iCs/>
          <w:color w:val="000000"/>
          <w:sz w:val="20"/>
          <w:szCs w:val="20"/>
          <w:lang w:eastAsia="cs-CZ"/>
        </w:rPr>
        <w:t xml:space="preserve">        </w:t>
      </w:r>
    </w:p>
    <w:p>
      <w:pPr>
        <w:pStyle w:val="Normal"/>
        <w:numPr>
          <w:ilvl w:val="0"/>
          <w:numId w:val="24"/>
        </w:numPr>
        <w:tabs>
          <w:tab w:val="clear" w:pos="709"/>
          <w:tab w:val="left" w:pos="426" w:leader="none"/>
        </w:tabs>
        <w:ind w:start="426" w:hanging="426"/>
        <w:jc w:val="both"/>
        <w:rPr/>
      </w:pPr>
      <w:r>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s>
        <w:rPr/>
      </w:pPr>
      <w:r>
        <w:rPr/>
      </w:r>
    </w:p>
    <w:p>
      <w:pPr>
        <w:pStyle w:val="Normal"/>
        <w:numPr>
          <w:ilvl w:val="0"/>
          <w:numId w:val="24"/>
        </w:numPr>
        <w:tabs>
          <w:tab w:val="clear" w:pos="709"/>
          <w:tab w:val="left" w:pos="426" w:leader="none"/>
        </w:tabs>
        <w:ind w:star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start="426" w:hanging="426"/>
        <w:rPr/>
      </w:pPr>
      <w:r>
        <w:rPr/>
      </w:r>
    </w:p>
    <w:p>
      <w:pPr>
        <w:pStyle w:val="Normal"/>
        <w:numPr>
          <w:ilvl w:val="0"/>
          <w:numId w:val="24"/>
        </w:numPr>
        <w:tabs>
          <w:tab w:val="clear" w:pos="709"/>
          <w:tab w:val="left" w:pos="426" w:leader="none"/>
        </w:tabs>
        <w:ind w:start="426" w:hanging="426"/>
        <w:jc w:val="both"/>
        <w:rPr/>
      </w:pPr>
      <w:r>
        <w:rPr/>
        <w:t>Stavba bude prováděna v zastavěném a obydleném území ve frekventované části města. Zhotovitel je povinen:</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3"/>
        </w:numPr>
        <w:tabs>
          <w:tab w:val="clear" w:pos="709"/>
          <w:tab w:val="left" w:pos="426" w:leader="none"/>
          <w:tab w:val="left" w:pos="851" w:leader="none"/>
          <w:tab w:val="left" w:pos="1134" w:leader="none"/>
        </w:tabs>
        <w:ind w:start="851" w:hanging="425"/>
        <w:jc w:val="both"/>
        <w:rPr/>
      </w:pPr>
      <w:r>
        <w:rPr>
          <w:rFonts w:cs="Arial"/>
        </w:rPr>
        <w:t>tuto skutečnost respektovat a při provádění prací postupovat v tomto směru zvlášť ohleduplně a opatrně,</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prostor staveniště řádně zabezpečit tak, aby nedošlo ke zranění osob, </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práce realizovat tak, aby nedošlo k poškození stávajících objektů a majetku, případná škoda jde k tíži zhotovitele,</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dodržovat při provádění díla limity pro hlučnost podle hygienických předpisů,</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po celou dobu realizace stavby označit, zajistit a zabezpečit prostor staveniště tak, aby do prostoru staveniště a na lešení nevnikly nepovolané osoby,</w:t>
      </w:r>
    </w:p>
    <w:p>
      <w:pPr>
        <w:pStyle w:val="Normal"/>
        <w:tabs>
          <w:tab w:val="clear" w:pos="709"/>
          <w:tab w:val="left" w:pos="426" w:leader="none"/>
          <w:tab w:val="left" w:pos="851" w:leader="none"/>
          <w:tab w:val="left" w:pos="1134" w:leader="none"/>
        </w:tabs>
        <w:spacing w:before="80" w:after="0"/>
        <w:ind w:start="426" w:hanging="0"/>
        <w:jc w:val="both"/>
        <w:rPr>
          <w:rFonts w:cs="Arial"/>
        </w:rPr>
      </w:pPr>
      <w:r>
        <w:rPr>
          <w:rFonts w:cs="Arial"/>
        </w:rPr>
      </w:r>
    </w:p>
    <w:p>
      <w:pPr>
        <w:pStyle w:val="Normal"/>
        <w:numPr>
          <w:ilvl w:val="0"/>
          <w:numId w:val="28"/>
        </w:numPr>
        <w:ind w:start="426" w:hanging="426"/>
        <w:jc w:val="both"/>
        <w:rPr/>
      </w:pPr>
      <w:r>
        <w:rPr/>
        <w:t>Zhotovitel je dle § 2e) zákona č. 320/2001 Sb., o finanční kontrole, osobou povinnou spolupůsobit při výkonu finanční kontroly.</w:t>
      </w:r>
    </w:p>
    <w:p>
      <w:pPr>
        <w:pStyle w:val="Normal"/>
        <w:rPr/>
      </w:pPr>
      <w:r>
        <w:rPr/>
      </w:r>
    </w:p>
    <w:p>
      <w:pPr>
        <w:pStyle w:val="Normal"/>
        <w:numPr>
          <w:ilvl w:val="0"/>
          <w:numId w:val="28"/>
        </w:numPr>
        <w:ind w:start="426" w:hanging="426"/>
        <w:jc w:val="both"/>
        <w:rPr/>
      </w:pPr>
      <w:r>
        <w:rPr/>
        <w:t>Zhotovitel je povinen poskytnout objednateli údaje vyžadované zákonem o zadávání veřejných zakázek,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28"/>
        </w:numPr>
        <w:ind w:start="426" w:hanging="426"/>
        <w:jc w:val="both"/>
        <w:rPr/>
      </w:pPr>
      <w:r>
        <w:rPr/>
        <w:t xml:space="preserve">Zhotovitel je povinen poskytnout objednateli nabídkový rozpočet i veškeré případné rozpočty změn díla rovněž elektronicky ve formátu xls. </w:t>
      </w:r>
    </w:p>
    <w:p>
      <w:pPr>
        <w:pStyle w:val="Normal"/>
        <w:rPr/>
      </w:pPr>
      <w:r>
        <w:rPr/>
      </w:r>
    </w:p>
    <w:p>
      <w:pPr>
        <w:pStyle w:val="Normal"/>
        <w:numPr>
          <w:ilvl w:val="0"/>
          <w:numId w:val="28"/>
        </w:numPr>
        <w:ind w:start="426" w:hanging="426"/>
        <w:jc w:val="both"/>
        <w:rPr/>
      </w:pPr>
      <w:r>
        <w:rPr/>
        <w:t>Zhotovitel je povinen poskytnout objednateli v požadované formě veškeré podklady a doklady, které na něm lze spravedlivě požadovat v souvislosti s realizací díla.</w:t>
      </w:r>
    </w:p>
    <w:p>
      <w:pPr>
        <w:pStyle w:val="Normal"/>
        <w:tabs>
          <w:tab w:val="clear" w:pos="709"/>
          <w:tab w:val="left" w:pos="426" w:leader="none"/>
        </w:tabs>
        <w:ind w:start="426" w:hanging="426"/>
        <w:rPr/>
      </w:pPr>
      <w:r>
        <w:rPr/>
      </w:r>
    </w:p>
    <w:p>
      <w:pPr>
        <w:pStyle w:val="Normal"/>
        <w:numPr>
          <w:ilvl w:val="0"/>
          <w:numId w:val="28"/>
        </w:numPr>
        <w:ind w:start="426" w:hanging="426"/>
        <w:jc w:val="both"/>
        <w:rPr/>
      </w:pPr>
      <w:r>
        <w:rPr/>
        <w:t>Zhotovitel je povinen umožnit provádění případných víceprací třetí osobou a poskytnout jí v tom případě součinnost potřebnou pro řádné a včasné dokončení díla.</w:t>
      </w:r>
    </w:p>
    <w:p>
      <w:pPr>
        <w:pStyle w:val="Normal"/>
        <w:tabs>
          <w:tab w:val="clear" w:pos="709"/>
          <w:tab w:val="left" w:pos="426" w:leader="none"/>
        </w:tabs>
        <w:ind w:start="426" w:hanging="426"/>
        <w:rPr/>
      </w:pPr>
      <w:r>
        <w:rPr/>
      </w:r>
    </w:p>
    <w:p>
      <w:pPr>
        <w:pStyle w:val="ListParagraph"/>
        <w:numPr>
          <w:ilvl w:val="0"/>
          <w:numId w:val="28"/>
        </w:numPr>
        <w:tabs>
          <w:tab w:val="clear" w:pos="709"/>
          <w:tab w:val="left" w:pos="426" w:leader="none"/>
          <w:tab w:val="left" w:pos="851" w:leader="none"/>
          <w:tab w:val="left" w:pos="1134" w:leader="none"/>
        </w:tabs>
        <w:suppressAutoHyphens w:val="false"/>
        <w:ind w:start="397" w:hanging="397"/>
        <w:jc w:val="both"/>
        <w:rPr>
          <w:rFonts w:cs="Arial"/>
        </w:rPr>
      </w:pPr>
      <w:r>
        <w:rPr/>
        <w:t xml:space="preserve">V případě zájmu zhotovitele zajistí objednatel prostřednictvím správce objektu určení míst pro napojení zhotovitele na odběry elektrické energie a vody pro potřebu provádění stavby (předpoklad přímo v objektu), a to při předání staveniště. V určených místech budou odběry pro stavbu měřeny odpočtovými měřidly, které zajistí zhotovitel a následně budou odběry správcem objektu přefakturovány zhotoviteli v cenách účtovaných stávajícímu odběrateli dodavatelem příslušného média, pokud nebude dohodnuto jinak. Zhotovitel je povinen přizvat správce objektu k provedení odečtů při zahájení stavby neprodleně po osazení odpočtových měřidel a při dokončení stavby těsně před jejich demontáží. Dále je povinen správci objektu umožnit průběžnou kontrolu stavu měřidel kdykoliv v průběhu stavby. </w:t>
      </w:r>
      <w:r>
        <w:rPr>
          <w:rFonts w:cs="Arial"/>
        </w:rPr>
        <w:t>Odběry budou zhotoviteli přefakturovány ve dvou platbách, první platba za odběry do konce roku 2026, druhá platba za odběry do konce realizace stavby.</w:t>
      </w:r>
    </w:p>
    <w:p>
      <w:pPr>
        <w:pStyle w:val="Normal"/>
        <w:ind w:start="426" w:hanging="0"/>
        <w:jc w:val="both"/>
        <w:rPr/>
      </w:pPr>
      <w:r>
        <w:rPr/>
      </w:r>
    </w:p>
    <w:p>
      <w:pPr>
        <w:pStyle w:val="Normal"/>
        <w:numPr>
          <w:ilvl w:val="0"/>
          <w:numId w:val="28"/>
        </w:numPr>
        <w:ind w:start="426" w:hanging="426"/>
        <w:jc w:val="both"/>
        <w:rPr/>
      </w:pPr>
      <w:r>
        <w:rPr/>
        <w:t>Zhotovitel si sám na vlastní náklady zajistí sociální zařízení pro potřeby provádění díla.</w:t>
      </w:r>
    </w:p>
    <w:p>
      <w:pPr>
        <w:pStyle w:val="Normal"/>
        <w:numPr>
          <w:ilvl w:val="0"/>
          <w:numId w:val="28"/>
        </w:numPr>
        <w:ind w:star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ListParagraph"/>
        <w:rPr/>
      </w:pPr>
      <w:r>
        <w:rPr/>
      </w:r>
    </w:p>
    <w:p>
      <w:pPr>
        <w:pStyle w:val="Normal"/>
        <w:numPr>
          <w:ilvl w:val="0"/>
          <w:numId w:val="28"/>
        </w:numPr>
        <w:ind w:start="397" w:hanging="397"/>
        <w:jc w:val="both"/>
        <w:rPr/>
      </w:pPr>
      <w:r>
        <w:rPr/>
        <w:t xml:space="preserve">Zhotovitel je povinen umožnit v prostoru staveniště provádění záchranného archeologického výzkumu </w:t>
      </w:r>
      <w:r>
        <w:rPr>
          <w:rFonts w:cs="Arial"/>
        </w:rPr>
        <w:t>ve smyslu zákona č. 20/1987 Sb., o státní památkové péči, v platném a účinném znění</w:t>
      </w:r>
      <w:r>
        <w:rPr/>
        <w:t xml:space="preserve"> třetí osobou a poskytnout jí potřebnou součinnost.</w:t>
      </w:r>
    </w:p>
    <w:p>
      <w:pPr>
        <w:pStyle w:val="ListParagraph"/>
        <w:rPr/>
      </w:pPr>
      <w:r>
        <w:rPr/>
      </w:r>
    </w:p>
    <w:p>
      <w:pPr>
        <w:pStyle w:val="Normal"/>
        <w:numPr>
          <w:ilvl w:val="0"/>
          <w:numId w:val="28"/>
        </w:numPr>
        <w:ind w:start="426" w:hanging="426"/>
        <w:jc w:val="both"/>
        <w:rPr/>
      </w:pPr>
      <w:r>
        <w:rPr/>
        <w:t>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w:t>
      </w:r>
    </w:p>
    <w:p>
      <w:pPr>
        <w:pStyle w:val="ListParagraph"/>
        <w:rPr/>
      </w:pPr>
      <w:r>
        <w:rPr/>
      </w:r>
    </w:p>
    <w:p>
      <w:pPr>
        <w:pStyle w:val="Normal"/>
        <w:numPr>
          <w:ilvl w:val="0"/>
          <w:numId w:val="28"/>
        </w:numPr>
        <w:ind w:star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Normal"/>
        <w:jc w:val="both"/>
        <w:rPr/>
      </w:pPr>
      <w:r>
        <w:rPr/>
      </w:r>
    </w:p>
    <w:p>
      <w:pPr>
        <w:pStyle w:val="Normal"/>
        <w:numPr>
          <w:ilvl w:val="0"/>
          <w:numId w:val="28"/>
        </w:numPr>
        <w:ind w:star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star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star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star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start="720" w:hanging="360"/>
        <w:jc w:val="both"/>
        <w:rPr/>
      </w:pPr>
      <w:r>
        <w:rPr>
          <w:rFonts w:cs="Arial"/>
          <w:color w:val="000000"/>
        </w:rPr>
        <w:t>d)</w:t>
        <w:tab/>
        <w:t>Dodržovat plán BOZP a účastnit se kontrolních dnů koordinátora.</w:t>
      </w:r>
    </w:p>
    <w:p>
      <w:pPr>
        <w:pStyle w:val="Normal"/>
        <w:ind w:star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start="360" w:hanging="0"/>
        <w:jc w:val="both"/>
        <w:rPr>
          <w:rFonts w:cs="Arial"/>
          <w:color w:val="000000"/>
          <w:u w:val="single"/>
        </w:rPr>
      </w:pPr>
      <w:r>
        <w:rPr>
          <w:rFonts w:cs="Arial"/>
          <w:color w:val="000000"/>
          <w:u w:val="single"/>
        </w:rPr>
      </w:r>
    </w:p>
    <w:p>
      <w:pPr>
        <w:pStyle w:val="Normal"/>
        <w:ind w:start="360" w:hanging="0"/>
        <w:jc w:val="both"/>
        <w:rPr/>
      </w:pPr>
      <w:r>
        <w:rPr>
          <w:rFonts w:cs="Arial"/>
          <w:color w:val="000000"/>
          <w:u w:val="single"/>
        </w:rPr>
        <w:t xml:space="preserve">Koordinátor BOZP je oprávněn: </w:t>
      </w:r>
    </w:p>
    <w:p>
      <w:pPr>
        <w:pStyle w:val="Normal"/>
        <w:ind w:star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star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star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star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star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star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star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Po celou dobu provádění díla je zhotovitel v souladu s </w:t>
      </w:r>
      <w:r>
        <w:rPr>
          <w:rFonts w:eastAsia="Segoe UI" w:cs="Tahoma" w:ascii="Liberation Serif" w:hAnsi="Liberation Serif"/>
          <w:sz w:val="24"/>
          <w:szCs w:val="24"/>
          <w:lang w:val="en-US" w:eastAsia="en-US" w:bidi="en-US"/>
        </w:rPr>
        <w:t>§ 166 zák. č. 283/2021 Sb.</w:t>
      </w:r>
      <w:r>
        <w:rPr>
          <w:rFonts w:cs="Arial"/>
        </w:rPr>
        <w:t xml:space="preserve">.,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Nejpozději 10 dnů před dokončením a předáním díla je zhotovitel povinen písemně oznámit objednateli zápisem ve stavebním deníku a technickému dozoru stavebníka e-mailem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Nedohodnou-li se smluvní strany jinak, pořizuje zápis o předání a převzetí objednatel. Zápis obsahuje zejména: </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údaje určující zhotovitele a objednatele se jmény osob oprávněných jednat</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díla, které je předmětem předání a převzetí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případných změn díla vůči projektu pro provedení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Nejpozději při zahájení přejímky dokončeného díla, předloží zhotovitel objednateli veškerou potřebnou dokumentaci k řádnému provozování díla, resp. stavby, která je předmětem díla, zejména: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projekt skutečného provedení stavby;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 xml:space="preserve">pasporty, kopie záručních listů, návody k obsluze od zařízení, které jsou součástí odevzdávaného díla;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originály stavebních deníků nebo jednoduchých záznamů o stavbě nebo montážních deníků;</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doklady o zákonné likvidaci odpadů vzniklých při provádění díla;</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rFonts w:cs="Arial"/>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t xml:space="preserve">Od okamžiku převzetí staveniště od objednatele až do dne konečného předání a převzetí díla nese zhotovitel nebezpečí vzniku škody na věci (ztráta, odcizení, zničení, poškození apod.) na prováděném díle. </w:t>
      </w:r>
      <w:r>
        <w:rPr>
          <w:bCs/>
        </w:rPr>
        <w:t>Zhotovitel zároveň odpovídá za úplnost, ochranu a zachování všech sbírkových předmětů a dalších věcí objednatele nacházejících se v objektu nebo na staveništi a je povinen zajistit jejich odpovídající ochranné, bezpečnostní, klimatické a provozní podmínky tak, aby nedošlo k jejich poškození, znehodnocení, ztrátě nebo odcizení.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 xml:space="preserve">Zhotovitel nese odpovědnost za škodu způsobenou objednateli, přičemž za škodu se považuje mimo jiné též: </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nezahájení prací z důvodů na straně zhotovitele ani do 6 pracovních dnů od sjednaného termínu zahájení prací;</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prodlení zhotovitele s dokončením díla delší jak 10 dnů;</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ind w:start="500" w:hanging="500"/>
        <w:jc w:val="both"/>
        <w:rPr>
          <w:rFonts w:cs="Arial"/>
        </w:rPr>
      </w:pPr>
      <w:r>
        <w:rPr>
          <w:rFonts w:cs="Arial"/>
        </w:rPr>
      </w:r>
    </w:p>
    <w:p>
      <w:pPr>
        <w:pStyle w:val="Normal"/>
        <w:numPr>
          <w:ilvl w:val="0"/>
          <w:numId w:val="15"/>
        </w:numPr>
        <w:tabs>
          <w:tab w:val="clear" w:pos="709"/>
          <w:tab w:val="left" w:pos="500" w:leader="none"/>
          <w:tab w:val="left" w:pos="720" w:leader="none"/>
          <w:tab w:val="left" w:pos="851" w:leader="none"/>
          <w:tab w:val="left" w:pos="1134" w:leader="none"/>
        </w:tabs>
        <w:ind w:start="500" w:hanging="500"/>
        <w:jc w:val="both"/>
        <w:rPr/>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v případě, že zhotovitel uvede objednatele v omyl.</w:t>
      </w:r>
    </w:p>
    <w:p>
      <w:pPr>
        <w:pStyle w:val="Normal"/>
        <w:tabs>
          <w:tab w:val="clear" w:pos="709"/>
          <w:tab w:val="left" w:pos="500" w:leader="none"/>
          <w:tab w:val="left" w:pos="851" w:leader="none"/>
          <w:tab w:val="left" w:pos="1134" w:leader="none"/>
        </w:tabs>
        <w:spacing w:before="80" w:after="0"/>
        <w:ind w:start="500" w:hanging="500"/>
        <w:jc w:val="both"/>
        <w:rPr/>
      </w:pPr>
      <w:r>
        <w:rPr>
          <w:rFonts w:cs="Arial"/>
        </w:rPr>
        <w:tab/>
        <w:t>V případě odstoupení od smlouvy podle tohoto odstavce nevzniká zhotoviteli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pokuty jsou stanoveny takto:</w:t>
      </w:r>
    </w:p>
    <w:p>
      <w:pPr>
        <w:pStyle w:val="Normal"/>
        <w:numPr>
          <w:ilvl w:val="0"/>
          <w:numId w:val="25"/>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5"/>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5"/>
        </w:numPr>
        <w:jc w:val="both"/>
        <w:rPr/>
      </w:pPr>
      <w:r>
        <w:rPr/>
        <w:t>při prodlení zhotovitele s termínem splnění milníku č.1 dle čl.2 ost.3 písm. a) této smlouvy vyúčtuje objednatel zhotoviteli smluvní pokutu ve výši 0,1% ze sjednané ceny díla (bez DPH) za každý započatý den prodlení až do splnění tohoto milníku;</w:t>
      </w:r>
    </w:p>
    <w:p>
      <w:pPr>
        <w:pStyle w:val="Normal"/>
        <w:numPr>
          <w:ilvl w:val="0"/>
          <w:numId w:val="25"/>
        </w:numPr>
        <w:jc w:val="both"/>
        <w:rPr/>
      </w:pPr>
      <w:r>
        <w:rPr/>
        <w:t>při prodlení zhotovitele s termínem splnění milníku č.2 dle čl.2 ost.3 písm. b) této smlouvy vyúčtuje objednatel zhotoviteli smluvní pokutu ve výši 0,1% ze sjednané ceny díla (bez DPH) za každý započatý den prodlení až do splnění tohoto milníku;</w:t>
      </w:r>
    </w:p>
    <w:p>
      <w:pPr>
        <w:pStyle w:val="Normal"/>
        <w:numPr>
          <w:ilvl w:val="0"/>
          <w:numId w:val="25"/>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5"/>
        </w:numPr>
        <w:jc w:val="both"/>
        <w:rPr/>
      </w:pPr>
      <w:r>
        <w:rPr/>
        <w:t>při prodlení zhotovitele s odstraňováním reklamovaných vad v termínech dle této smlouvy vyúčtuje objednatel zhotoviteli smluvní pokutu ve výši 1.000,- Kč za každý i započatý den prodlení;</w:t>
      </w:r>
    </w:p>
    <w:p>
      <w:pPr>
        <w:pStyle w:val="Normal"/>
        <w:numPr>
          <w:ilvl w:val="0"/>
          <w:numId w:val="25"/>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5"/>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5"/>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5"/>
        </w:numPr>
        <w:jc w:val="both"/>
        <w:rPr/>
      </w:pPr>
      <w:r>
        <w:rPr/>
        <w:t xml:space="preserve">v případě, že zhotovitel změní podzhotovitele v rozporu s čl. 8, odst. 6 této smlouvy, vyúčtuje objednatel zhotoviteli smluvní pokutu ve výši 5.000,- Kč za každou jednotlivou změnu. Dále je zhotovitel povinen uhradit veškeré škody, které objednateli v této souvislosti vzniknou. Za škodu se v tomto případě považuje i vyměření pokuty objednateli z tohoto důvodu; </w:t>
      </w:r>
    </w:p>
    <w:p>
      <w:pPr>
        <w:pStyle w:val="Normal"/>
        <w:numPr>
          <w:ilvl w:val="0"/>
          <w:numId w:val="25"/>
        </w:numPr>
        <w:tabs>
          <w:tab w:val="clear" w:pos="709"/>
          <w:tab w:val="left" w:pos="426" w:leader="none"/>
          <w:tab w:val="left" w:pos="851" w:leader="none"/>
          <w:tab w:val="left" w:pos="1134" w:leader="none"/>
        </w:tabs>
        <w:suppressAutoHyphens w:val="false"/>
        <w:spacing w:before="80" w:after="0"/>
        <w:jc w:val="both"/>
        <w:rPr>
          <w:rFonts w:cs="Arial"/>
        </w:rPr>
      </w:pPr>
      <w:r>
        <w:rPr>
          <w:rFonts w:cs="Arial"/>
        </w:rPr>
        <w:t>při neoznačení stavby dle čl. 1, odst. 5, písm. i) této smlouvy vyúčtuje objednatel zhotoviteli smluvní pokutu ve výši 1.000,- Kč za každý i započatý den, kdy nebyla stavba řádně označena;</w:t>
      </w:r>
    </w:p>
    <w:p>
      <w:pPr>
        <w:pStyle w:val="Normal"/>
        <w:numPr>
          <w:ilvl w:val="0"/>
          <w:numId w:val="25"/>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5"/>
        </w:numPr>
        <w:jc w:val="both"/>
        <w:rPr/>
      </w:pPr>
      <w:r>
        <w:rPr/>
        <w:t>pokud zhotovitel nepředloží objednateli kopie pojistných smluv v termínu a obsahem uvedeným v čl. 15, odst. 1 této smlouvy, vyúčtuje objednatel zhotoviteli smluvní pokutu ve výši 100.000,- Kč;</w:t>
      </w:r>
    </w:p>
    <w:p>
      <w:pPr>
        <w:pStyle w:val="Normal"/>
        <w:numPr>
          <w:ilvl w:val="0"/>
          <w:numId w:val="25"/>
        </w:numPr>
        <w:jc w:val="both"/>
        <w:rPr/>
      </w:pPr>
      <w:r>
        <w:rP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pPr>
        <w:pStyle w:val="Normal"/>
        <w:numPr>
          <w:ilvl w:val="0"/>
          <w:numId w:val="25"/>
        </w:numPr>
        <w:jc w:val="both"/>
        <w:rPr/>
      </w:pPr>
      <w:r>
        <w:rPr/>
        <w:t xml:space="preserve">pokud zhotovitel nebude řádně udržovat na staveništi a jeho okolí pořádek (dle ustanovení čl. 1, odst. 6, písm. d)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5"/>
        </w:numPr>
        <w:jc w:val="both"/>
        <w:rPr/>
      </w:pPr>
      <w:r>
        <w:rPr/>
        <w:t xml:space="preserve">v případě, že objednatel odstoupí od smlouvy z důvodu uvedeného v čl. 12, odst. 1, písm. a) a c) této smlouvy, je zhotovitel povinen uhradit objednateli smluvní pokutu ve výši 500.000,- Kč. </w:t>
      </w:r>
    </w:p>
    <w:p>
      <w:pPr>
        <w:pStyle w:val="Normal"/>
        <w:tabs>
          <w:tab w:val="clear" w:pos="709"/>
          <w:tab w:val="left" w:pos="426" w:leader="none"/>
          <w:tab w:val="left" w:pos="851" w:leader="none"/>
          <w:tab w:val="left" w:pos="1134" w:leader="none"/>
        </w:tabs>
        <w:ind w:start="426" w:hanging="426"/>
        <w:jc w:val="both"/>
        <w:rPr>
          <w:rFonts w:cs="Arial"/>
          <w:color w:val="0000FF"/>
        </w:rPr>
      </w:pPr>
      <w:r>
        <w:rPr>
          <w:rFonts w:cs="Arial"/>
          <w:color w:val="0000FF"/>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Zaplacením smluvní pokuty není dotčen nárok na náhradu škody.</w:t>
      </w:r>
    </w:p>
    <w:p>
      <w:pPr>
        <w:pStyle w:val="Normal"/>
        <w:tabs>
          <w:tab w:val="clear" w:pos="709"/>
          <w:tab w:val="left" w:pos="426" w:leader="none"/>
          <w:tab w:val="left" w:pos="851" w:leader="none"/>
          <w:tab w:val="left" w:pos="1134" w:leader="none"/>
        </w:tabs>
        <w:jc w:val="both"/>
        <w:rPr/>
      </w:pPr>
      <w:r>
        <w:rPr/>
      </w:r>
    </w:p>
    <w:p>
      <w:pPr>
        <w:pStyle w:val="Normal"/>
        <w:numPr>
          <w:ilvl w:val="0"/>
          <w:numId w:val="15"/>
        </w:numPr>
        <w:tabs>
          <w:tab w:val="clear" w:pos="709"/>
          <w:tab w:val="left" w:pos="426" w:leader="none"/>
          <w:tab w:val="left" w:pos="851" w:leader="none"/>
          <w:tab w:val="left" w:pos="1134" w:leader="none"/>
        </w:tabs>
        <w:ind w:start="426" w:hanging="426"/>
        <w:jc w:val="both"/>
        <w:rPr/>
      </w:pPr>
      <w:r>
        <w:rPr/>
        <w:t>Vyjma případů uvedených v čl. 12, odst. 1, 2 a 3 a v čl. 13, odst. 2 této smlouvy sjednávají smluvní strany možnost zrušení této smlouvy zaplacením odstupného druhé smluvní straně ve výši 100.000,- Kč.</w:t>
      </w:r>
    </w:p>
    <w:p>
      <w:pPr>
        <w:pStyle w:val="Normal"/>
        <w:tabs>
          <w:tab w:val="clear" w:pos="709"/>
          <w:tab w:val="left" w:pos="426" w:leader="none"/>
          <w:tab w:val="left" w:pos="851" w:leader="none"/>
          <w:tab w:val="left" w:pos="1134" w:leader="none"/>
        </w:tabs>
        <w:ind w:start="426" w:hanging="0"/>
        <w:jc w:val="both"/>
        <w:rPr/>
      </w:pPr>
      <w:r>
        <w:rPr/>
      </w:r>
    </w:p>
    <w:p>
      <w:pPr>
        <w:pStyle w:val="Normal"/>
        <w:numPr>
          <w:ilvl w:val="0"/>
          <w:numId w:val="15"/>
        </w:numPr>
        <w:ind w:start="0" w:hanging="0"/>
        <w:jc w:val="both"/>
        <w:rPr>
          <w:rFonts w:cs="Arial"/>
        </w:rPr>
      </w:pPr>
      <w:r>
        <w:rPr>
          <w:rFonts w:cs="Arial"/>
        </w:rPr>
        <w:t>Zhotovitel je srozuměn s tím, že škodou se dle této smlouvy rozumí též povinnost objednatele vrátit celou nebo část obdržené dotace, včetně případné povinnosti uhradit penále vyúčtované objednateli poskytovatelem dotace.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6"/>
        </w:numPr>
        <w:tabs>
          <w:tab w:val="clear" w:pos="709"/>
          <w:tab w:val="left" w:pos="426" w:leader="none"/>
        </w:tabs>
        <w:ind w:star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pPr>
        <w:pStyle w:val="Normal"/>
        <w:tabs>
          <w:tab w:val="clear" w:pos="709"/>
          <w:tab w:val="left" w:pos="426" w:leader="none"/>
        </w:tabs>
        <w:ind w:start="426" w:hanging="426"/>
        <w:rPr/>
      </w:pPr>
      <w:r>
        <w:rPr/>
      </w:r>
    </w:p>
    <w:p>
      <w:pPr>
        <w:pStyle w:val="Normal"/>
        <w:numPr>
          <w:ilvl w:val="0"/>
          <w:numId w:val="26"/>
        </w:numPr>
        <w:tabs>
          <w:tab w:val="clear" w:pos="709"/>
          <w:tab w:val="left" w:pos="426" w:leader="none"/>
        </w:tabs>
        <w:ind w:star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start="426" w:hanging="426"/>
        <w:rPr/>
      </w:pPr>
      <w:r>
        <w:rPr/>
      </w:r>
    </w:p>
    <w:p>
      <w:pPr>
        <w:pStyle w:val="Normal"/>
        <w:numPr>
          <w:ilvl w:val="0"/>
          <w:numId w:val="26"/>
        </w:numPr>
        <w:tabs>
          <w:tab w:val="clear" w:pos="709"/>
          <w:tab w:val="left" w:pos="426" w:leader="none"/>
        </w:tabs>
        <w:ind w:start="426" w:hanging="426"/>
        <w:jc w:val="both"/>
        <w:rPr/>
      </w:pPr>
      <w:r>
        <w:rPr/>
        <w:t>Technický dozor stavebníka nesmí provádět zhotovitel ani osoba s ním propojená.</w:t>
      </w:r>
    </w:p>
    <w:p>
      <w:pPr>
        <w:pStyle w:val="Normal"/>
        <w:jc w:val="both"/>
        <w:rPr/>
      </w:pPr>
      <w:r>
        <w:rPr/>
      </w:r>
    </w:p>
    <w:p>
      <w:pPr>
        <w:pStyle w:val="Normal"/>
        <w:numPr>
          <w:ilvl w:val="0"/>
          <w:numId w:val="26"/>
        </w:numPr>
        <w:tabs>
          <w:tab w:val="clear" w:pos="709"/>
          <w:tab w:val="left" w:pos="426" w:leader="none"/>
        </w:tabs>
        <w:ind w:star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start="426" w:hanging="426"/>
        <w:rPr/>
      </w:pPr>
      <w:r>
        <w:rPr/>
      </w:r>
    </w:p>
    <w:p>
      <w:pPr>
        <w:pStyle w:val="Normal"/>
        <w:numPr>
          <w:ilvl w:val="0"/>
          <w:numId w:val="26"/>
        </w:numPr>
        <w:tabs>
          <w:tab w:val="clear" w:pos="709"/>
          <w:tab w:val="left" w:pos="426" w:leader="none"/>
        </w:tabs>
        <w:ind w:start="426" w:hanging="426"/>
        <w:jc w:val="both"/>
        <w:rPr/>
      </w:pPr>
      <w:r>
        <w:rPr/>
        <w:t>V případě rozporu mezi touto smlouvou a projektovou dokumentací mají přednost ustanovení sjednaná v této smlouvě.</w:t>
      </w:r>
    </w:p>
    <w:p>
      <w:pPr>
        <w:pStyle w:val="ListParagraph"/>
        <w:rPr/>
      </w:pPr>
      <w:r>
        <w:rPr/>
      </w:r>
    </w:p>
    <w:p>
      <w:pPr>
        <w:pStyle w:val="Normal"/>
        <w:numPr>
          <w:ilvl w:val="0"/>
          <w:numId w:val="26"/>
        </w:numPr>
        <w:tabs>
          <w:tab w:val="clear" w:pos="709"/>
          <w:tab w:val="left" w:pos="426" w:leader="none"/>
        </w:tabs>
        <w:ind w:start="426" w:hanging="426"/>
        <w:jc w:val="both"/>
        <w:rPr/>
      </w:pPr>
      <w:r>
        <w:rPr/>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26"/>
        </w:numPr>
        <w:tabs>
          <w:tab w:val="clear" w:pos="709"/>
          <w:tab w:val="left" w:pos="426" w:leader="none"/>
        </w:tabs>
        <w:spacing w:before="100" w:after="100"/>
        <w:ind w:start="426" w:hanging="426"/>
        <w:jc w:val="both"/>
        <w:rPr/>
      </w:pPr>
      <w:bookmarkStart w:id="10" w:name="_Hlk213752566"/>
      <w:r>
        <w:rPr/>
        <w:t>Zhotovitel je srozuměn se skutečností, že poskytovatelé finančního příspěvku jsou oprávněni k zajišťování veškerých podkladů a údajů u zhotovitele v souvislosti s výkonem veřejnoprávní kontroly poskytovatele finančního příspěvku u objednatele s ohledem na poskytnuté finanční prostředky. Zhotovitel se zavazuje poskytnout potřebnou součinnost poskytovateli finančního příspěvku nebo jím pověřeným osobám při kontrolách, auditech nebo monitorování řešení a realizace stavby, zejména jim na vyžádání poskytnout veškerou dokumentaci projektu, účetní doklady, vysvětlující informace a umožnit prohlídku na místě.</w:t>
      </w:r>
      <w:bookmarkEnd w:id="10"/>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doplnění fotodokumentace objektu, apod. </w:t>
      </w:r>
    </w:p>
    <w:p>
      <w:pPr>
        <w:pStyle w:val="ListParagrap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sepsána ve třech vyhotoveních s platností originálu,  objednatel obdrží dvě vyhotovení a zhotovitel jedno vyhotovení této smlouvy. Toto ujednání platí i pro všechny návrhy změn a dodatky k této smlouvě.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projednána na schůzi rady č.51. konané dne 1.12.2025 a schválena usnesením přijatým pod bodem č. 23/51/RM/2025Nedílnou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start="426" w:hanging="0"/>
        <w:jc w:val="both"/>
        <w:rPr/>
      </w:pPr>
      <w:r>
        <w:rPr>
          <w:rFonts w:eastAsia="Arial" w:cs="Arial"/>
        </w:rPr>
        <w:t xml:space="preserve">      </w:t>
      </w:r>
      <w:r>
        <w:rPr>
          <w:rFonts w:cs="Arial"/>
        </w:rPr>
        <w:t>Příloha č. 2 – Harmonogram postupu prací v týdenním členění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pPr>
      <w:r>
        <w:rPr>
          <w:rFonts w:cs="Arial"/>
        </w:rPr>
        <w:t>V Novém Městě na Moravě ………………</w:t>
        <w:tab/>
        <w:t>V ………………..…….   ………………</w:t>
      </w:r>
    </w:p>
    <w:p>
      <w:pPr>
        <w:pStyle w:val="Normal"/>
        <w:tabs>
          <w:tab w:val="clear" w:pos="709"/>
          <w:tab w:val="left" w:pos="5103" w:leader="none"/>
        </w:tabs>
        <w:jc w:val="both"/>
        <w:rPr/>
      </w:pPr>
      <w:r>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Michal Šmarda</w:t>
        <w:tab/>
      </w:r>
    </w:p>
    <w:p>
      <w:pPr>
        <w:pStyle w:val="Normal"/>
        <w:tabs>
          <w:tab w:val="clear" w:pos="709"/>
          <w:tab w:val="center" w:pos="1701" w:leader="none"/>
          <w:tab w:val="center" w:pos="6804" w:leader="none"/>
        </w:tabs>
        <w:jc w:val="both"/>
        <w:rPr/>
      </w:pPr>
      <w:r>
        <w:rPr>
          <w:rFonts w:cs="Arial"/>
        </w:rPr>
        <w:t>starosta</w:t>
        <w:tab/>
        <w:t xml:space="preserve">                                </w:t>
      </w:r>
    </w:p>
    <w:p>
      <w:pPr>
        <w:pStyle w:val="Normal"/>
        <w:tabs>
          <w:tab w:val="clear" w:pos="709"/>
          <w:tab w:val="center" w:pos="1701" w:leader="none"/>
          <w:tab w:val="center" w:pos="6804" w:leader="none"/>
        </w:tabs>
        <w:jc w:val="both"/>
        <w:rPr>
          <w:rFonts w:cs="Arial"/>
        </w:rPr>
      </w:pPr>
      <w:r>
        <w:rPr>
          <w:rFonts w:cs="Arial"/>
        </w:rPr>
      </w:r>
    </w:p>
    <w:p>
      <w:pPr>
        <w:pStyle w:val="Normal"/>
        <w:tabs>
          <w:tab w:val="clear" w:pos="709"/>
          <w:tab w:val="center" w:pos="1701" w:leader="none"/>
          <w:tab w:val="center" w:pos="6804" w:leader="none"/>
        </w:tabs>
        <w:jc w:val="both"/>
        <w:rPr/>
      </w:pPr>
      <w:r>
        <w:rPr/>
      </w:r>
    </w:p>
    <w:sectPr>
      <w:footerReference w:type="default" r:id="rId4"/>
      <w:type w:val="nextPage"/>
      <w:pgSz w:w="11906" w:h="16838"/>
      <w:pgMar w:left="1134" w:right="1134" w:gutter="0" w:header="0" w:top="1418" w:footer="709" w:bottom="1418"/>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3-11-23T10:55:00Z" w:initials="u">
    <w:p>
      <w:r>
        <w:rPr>
          <w:rFonts w:ascii="Liberation Serif" w:hAnsi="Liberation Serif" w:eastAsia="Segoe UI" w:cs="Tahoma"/>
          <w:sz w:val="24"/>
          <w:szCs w:val="24"/>
          <w:lang w:val="en-US" w:eastAsia="en-US" w:bidi="en-US"/>
        </w:rPr>
        <w:t>Tento text do čistopisu smlouvy prosím vymažte (tento komentář prosím vymažte)</w:t>
      </w:r>
    </w:p>
  </w:comment>
  <w:comment w:id="1"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3" w:author="urad5" w:date="2023-11-23T10:55: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 xml:space="preserve">(tento komentář prosím vymažte) </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Cambria">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roman"/>
    <w:pitch w:val="variable"/>
  </w:font>
  <w:font w:name="Stamp">
    <w:charset w:val="ee" w:characterSet="windows-1250"/>
    <w:family w:val="roman"/>
    <w:pitch w:val="variable"/>
  </w:font>
  <w:font w:name="Tahoma">
    <w:charset w:val="ee" w:characterSet="windows-1250"/>
    <w:family w:val="roman"/>
    <w:pitch w:val="variable"/>
  </w:font>
  <w:font w:name="Verdana">
    <w:charset w:val="ee" w:characterSet="windows-1250"/>
    <w:family w:val="roman"/>
    <w:pitch w:val="variable"/>
  </w:font>
  <w:font w:name="Helv">
    <w:altName w:val="Arial"/>
    <w:charset w:val="ee" w:characterSet="windows-1250"/>
    <w:family w:val="roman"/>
    <w:pitch w:val="variable"/>
  </w:font>
  <w:font w:name="Liberation Serif">
    <w:altName w:val="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rStyle w:val="Pagenumber"/>
        <w:rFonts w:eastAsia="Arial" w:cs="Arial"/>
        <w:sz w:val="16"/>
        <w:szCs w:val="16"/>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24</w:t>
    </w:r>
    <w:r>
      <w:rPr>
        <w:rStyle w:val="Pagenumber"/>
        <w:sz w:val="16"/>
        <w:szCs w:val="16"/>
        <w:rFonts w:cs="Arial"/>
      </w:rPr>
      <w:fldChar w:fldCharType="end"/>
    </w:r>
    <w:r>
      <w:rPr>
        <w:rStyle w:val="Pagenumber"/>
        <w:rFonts w:eastAsia="Arial" w:cs="Arial"/>
        <w:sz w:val="16"/>
        <w:szCs w:val="16"/>
      </w:rPr>
      <w:t xml:space="preserve">                                                                          </w:t>
    </w:r>
  </w:p>
  <w:p>
    <w:pPr>
      <w:pStyle w:val="Zpat"/>
      <w:tabs>
        <w:tab w:val="clear" w:pos="4536"/>
        <w:tab w:val="clear" w:pos="9072"/>
        <w:tab w:val="right" w:pos="9639" w:leader="none"/>
      </w:tabs>
      <w:jc w:val="both"/>
      <w:rPr>
        <w:rStyle w:val="Pagenumber"/>
        <w:rFonts w:eastAsia="Arial" w:cs="Arial"/>
        <w:sz w:val="16"/>
        <w:szCs w:val="16"/>
      </w:rPr>
    </w:pPr>
    <w:r>
      <w:rPr>
        <w:rFonts w:eastAsia="Arial" w:cs="Arial"/>
        <w:sz w:val="16"/>
        <w:szCs w:val="16"/>
      </w:rPr>
    </w:r>
  </w:p>
  <w:p>
    <w:pPr>
      <w:pStyle w:val="Zpat"/>
      <w:tabs>
        <w:tab w:val="clear" w:pos="4536"/>
        <w:tab w:val="clear" w:pos="9072"/>
        <w:tab w:val="right" w:pos="9639" w:leader="none"/>
      </w:tabs>
      <w:jc w:val="both"/>
      <w:rPr>
        <w:rFonts w:eastAsia="Arial" w:cs="Arial"/>
        <w:sz w:val="16"/>
        <w:szCs w:val="16"/>
      </w:rPr>
    </w:pPr>
    <w:r>
      <w:rPr>
        <w:rFonts w:cs="Arial"/>
        <w:sz w:val="16"/>
        <w:szCs w:val="16"/>
      </w:rPr>
      <w:t>Horácké muzeum v Novém Městě na Moravě – Návštěvnické centrum muzea a Úpravy zázemí</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start"/>
      <w:pPr>
        <w:tabs>
          <w:tab w:val="num" w:pos="0"/>
        </w:tabs>
        <w:ind w:start="432" w:hanging="432"/>
      </w:pPr>
    </w:lvl>
    <w:lvl w:ilvl="1">
      <w:start w:val="1"/>
      <w:pStyle w:val="Nadpis2"/>
      <w:numFmt w:val="none"/>
      <w:suff w:val="nothing"/>
      <w:lvlText w:val=""/>
      <w:lvlJc w:val="start"/>
      <w:pPr>
        <w:tabs>
          <w:tab w:val="num" w:pos="0"/>
        </w:tabs>
        <w:ind w:start="576" w:hanging="576"/>
      </w:pPr>
    </w:lvl>
    <w:lvl w:ilvl="2">
      <w:start w:val="1"/>
      <w:pStyle w:val="Nadpis3"/>
      <w:numFmt w:val="none"/>
      <w:suff w:val="nothing"/>
      <w:lvlText w:val=""/>
      <w:lvlJc w:val="start"/>
      <w:pPr>
        <w:tabs>
          <w:tab w:val="num" w:pos="0"/>
        </w:tabs>
        <w:ind w:start="720" w:hanging="720"/>
      </w:pPr>
    </w:lvl>
    <w:lvl w:ilvl="3">
      <w:start w:val="1"/>
      <w:pStyle w:val="Nadpis4"/>
      <w:numFmt w:val="none"/>
      <w:suff w:val="nothing"/>
      <w:lvlText w:val=""/>
      <w:lvlJc w:val="start"/>
      <w:pPr>
        <w:tabs>
          <w:tab w:val="num" w:pos="0"/>
        </w:tabs>
        <w:ind w:start="864" w:hanging="864"/>
      </w:pPr>
    </w:lvl>
    <w:lvl w:ilvl="4">
      <w:start w:val="1"/>
      <w:pStyle w:val="Nadpis5"/>
      <w:numFmt w:val="none"/>
      <w:suff w:val="nothing"/>
      <w:lvlText w:val=""/>
      <w:lvlJc w:val="start"/>
      <w:pPr>
        <w:tabs>
          <w:tab w:val="num" w:pos="0"/>
        </w:tabs>
        <w:ind w:start="1008" w:hanging="1008"/>
      </w:pPr>
    </w:lvl>
    <w:lvl w:ilvl="5">
      <w:start w:val="1"/>
      <w:pStyle w:val="Nadpis6"/>
      <w:numFmt w:val="none"/>
      <w:suff w:val="nothing"/>
      <w:lvlText w:val=""/>
      <w:lvlJc w:val="start"/>
      <w:pPr>
        <w:tabs>
          <w:tab w:val="num" w:pos="0"/>
        </w:tabs>
        <w:ind w:start="1152" w:hanging="1152"/>
      </w:pPr>
    </w:lvl>
    <w:lvl w:ilvl="6">
      <w:start w:val="1"/>
      <w:pStyle w:val="Nadpis7"/>
      <w:numFmt w:val="none"/>
      <w:suff w:val="nothing"/>
      <w:lvlText w:val=""/>
      <w:lvlJc w:val="start"/>
      <w:pPr>
        <w:tabs>
          <w:tab w:val="num" w:pos="0"/>
        </w:tabs>
        <w:ind w:start="1296" w:hanging="1296"/>
      </w:pPr>
    </w:lvl>
    <w:lvl w:ilvl="7">
      <w:start w:val="1"/>
      <w:pStyle w:val="Nadpis8"/>
      <w:numFmt w:val="none"/>
      <w:suff w:val="nothing"/>
      <w:lvlText w:val=""/>
      <w:lvlJc w:val="start"/>
      <w:pPr>
        <w:tabs>
          <w:tab w:val="num" w:pos="0"/>
        </w:tabs>
        <w:ind w:start="1440" w:hanging="1440"/>
      </w:pPr>
    </w:lvl>
    <w:lvl w:ilvl="8">
      <w:start w:val="1"/>
      <w:pStyle w:val="Nadpis9"/>
      <w:numFmt w:val="none"/>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bullet"/>
      <w:lvlText w:val="-"/>
      <w:lvlJc w:val="start"/>
      <w:pPr>
        <w:tabs>
          <w:tab w:val="num" w:pos="709"/>
        </w:tabs>
        <w:ind w:start="36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0"/>
        </w:tabs>
        <w:ind w:start="1495"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72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bullet"/>
      <w:lvlText w:val="-"/>
      <w:lvlJc w:val="start"/>
      <w:pPr>
        <w:tabs>
          <w:tab w:val="num" w:pos="0"/>
        </w:tabs>
        <w:ind w:start="72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720" w:hanging="360"/>
      </w:pPr>
      <w:rPr>
        <w:sz w:val="22"/>
        <w:szCs w:val="22"/>
        <w:rFonts w:ascii="Arial" w:hAnsi="Arial" w:eastAsia="Arial" w:cs="Times New Roman"/>
      </w:rPr>
    </w:lvl>
    <w:lvl w:ilvl="1">
      <w:start w:val="1"/>
      <w:numFmt w:val="lowerLetter"/>
      <w:lvlText w:val="%2)"/>
      <w:lvlJc w:val="start"/>
      <w:pPr>
        <w:tabs>
          <w:tab w:val="num" w:pos="1440"/>
        </w:tabs>
        <w:ind w:start="1440" w:hanging="360"/>
      </w:pPr>
      <w:rPr>
        <w:sz w:val="22"/>
        <w:szCs w:val="22"/>
        <w:rFonts w:ascii="Arial" w:hAnsi="Arial" w:cs="Arial"/>
      </w:rPr>
    </w:lvl>
    <w:lvl w:ilvl="2">
      <w:start w:val="1"/>
      <w:numFmt w:val="lowerRoman"/>
      <w:lvlText w:val="%3."/>
      <w:lvlJc w:val="end"/>
      <w:pPr>
        <w:tabs>
          <w:tab w:val="num" w:pos="0"/>
        </w:tabs>
        <w:ind w:start="2160" w:hanging="180"/>
      </w:pPr>
      <w:rPr>
        <w:sz w:val="22"/>
        <w:szCs w:val="22"/>
        <w:rFonts w:ascii="Arial" w:hAnsi="Arial" w:eastAsia="Arial" w:cs="Times New Roman"/>
      </w:rPr>
    </w:lvl>
    <w:lvl w:ilvl="3">
      <w:start w:val="1"/>
      <w:numFmt w:val="decimal"/>
      <w:lvlText w:val="%4."/>
      <w:lvlJc w:val="start"/>
      <w:pPr>
        <w:tabs>
          <w:tab w:val="num" w:pos="0"/>
        </w:tabs>
        <w:ind w:start="2880" w:hanging="360"/>
      </w:pPr>
      <w:rPr>
        <w:sz w:val="22"/>
        <w:szCs w:val="22"/>
        <w:rFonts w:ascii="Arial" w:hAnsi="Arial" w:eastAsia="Arial" w:cs="Times New Roman"/>
      </w:rPr>
    </w:lvl>
    <w:lvl w:ilvl="4">
      <w:start w:val="1"/>
      <w:numFmt w:val="lowerLetter"/>
      <w:lvlText w:val="%5."/>
      <w:lvlJc w:val="start"/>
      <w:pPr>
        <w:tabs>
          <w:tab w:val="num" w:pos="0"/>
        </w:tabs>
        <w:ind w:start="3600" w:hanging="360"/>
      </w:pPr>
      <w:rPr>
        <w:sz w:val="22"/>
        <w:szCs w:val="22"/>
        <w:rFonts w:ascii="Arial" w:hAnsi="Arial" w:eastAsia="Arial" w:cs="Times New Roman"/>
      </w:rPr>
    </w:lvl>
    <w:lvl w:ilvl="5">
      <w:start w:val="1"/>
      <w:numFmt w:val="lowerRoman"/>
      <w:lvlText w:val="%6."/>
      <w:lvlJc w:val="end"/>
      <w:pPr>
        <w:tabs>
          <w:tab w:val="num" w:pos="0"/>
        </w:tabs>
        <w:ind w:start="4320" w:hanging="180"/>
      </w:pPr>
      <w:rPr>
        <w:sz w:val="22"/>
        <w:szCs w:val="22"/>
        <w:rFonts w:ascii="Arial" w:hAnsi="Arial" w:eastAsia="Arial" w:cs="Times New Roman"/>
      </w:rPr>
    </w:lvl>
    <w:lvl w:ilvl="6">
      <w:start w:val="1"/>
      <w:numFmt w:val="decimal"/>
      <w:lvlText w:val="%7."/>
      <w:lvlJc w:val="start"/>
      <w:pPr>
        <w:tabs>
          <w:tab w:val="num" w:pos="0"/>
        </w:tabs>
        <w:ind w:start="5040" w:hanging="360"/>
      </w:pPr>
      <w:rPr>
        <w:sz w:val="22"/>
        <w:szCs w:val="22"/>
        <w:rFonts w:ascii="Arial" w:hAnsi="Arial" w:eastAsia="Arial" w:cs="Times New Roman"/>
      </w:rPr>
    </w:lvl>
    <w:lvl w:ilvl="7">
      <w:start w:val="1"/>
      <w:numFmt w:val="lowerLetter"/>
      <w:lvlText w:val="%8."/>
      <w:lvlJc w:val="start"/>
      <w:pPr>
        <w:tabs>
          <w:tab w:val="num" w:pos="0"/>
        </w:tabs>
        <w:ind w:start="5760" w:hanging="360"/>
      </w:pPr>
      <w:rPr>
        <w:sz w:val="22"/>
        <w:szCs w:val="22"/>
        <w:rFonts w:ascii="Arial" w:hAnsi="Arial" w:eastAsia="Arial" w:cs="Times New Roman"/>
      </w:rPr>
    </w:lvl>
    <w:lvl w:ilvl="8">
      <w:start w:val="1"/>
      <w:numFmt w:val="lowerRoman"/>
      <w:lvlText w:val="%9."/>
      <w:lvlJc w:val="end"/>
      <w:pPr>
        <w:tabs>
          <w:tab w:val="num" w:pos="0"/>
        </w:tabs>
        <w:ind w:start="6480" w:hanging="180"/>
      </w:pPr>
      <w:rPr>
        <w:sz w:val="22"/>
        <w:szCs w:val="22"/>
        <w:rFonts w:ascii="Arial" w:hAnsi="Arial" w:eastAsia="Arial" w:cs="Times New Roman"/>
      </w:rPr>
    </w:lvl>
  </w:abstractNum>
  <w:abstractNum w:abstractNumId="12">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644"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2"/>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4"/>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5">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lowerLetter"/>
      <w:lvlText w:val="%1)"/>
      <w:lvlJc w:val="start"/>
      <w:pPr>
        <w:tabs>
          <w:tab w:val="num" w:pos="780"/>
        </w:tabs>
        <w:ind w:start="780" w:hanging="360"/>
      </w:pPr>
    </w:lvl>
    <w:lvl w:ilvl="1">
      <w:start w:val="1"/>
      <w:numFmt w:val="lowerLetter"/>
      <w:lvlText w:val="%2."/>
      <w:lvlJc w:val="start"/>
      <w:pPr>
        <w:tabs>
          <w:tab w:val="num" w:pos="150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8">
    <w:lvl w:ilvl="0">
      <w:start w:val="22"/>
      <w:numFmt w:val="decimal"/>
      <w:lvlText w:val="%1."/>
      <w:lvlJc w:val="start"/>
      <w:pPr>
        <w:tabs>
          <w:tab w:val="num" w:pos="720"/>
        </w:tabs>
        <w:ind w:start="624" w:hanging="624"/>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29">
    <w:lvl w:ilvl="0">
      <w:start w:val="1"/>
      <w:numFmt w:val="lowerLetter"/>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
      <w:lvlJc w:val="start"/>
      <w:pPr>
        <w:tabs>
          <w:tab w:val="num" w:pos="644"/>
        </w:tabs>
        <w:ind w:start="644" w:hanging="360"/>
      </w:pPr>
      <w:rPr>
        <w:rFonts w:ascii="Symbol" w:hAnsi="Symbol" w:cs="Symbol" w:hint="default"/>
      </w:rPr>
    </w:lvl>
    <w:lvl w:ilvl="1">
      <w:start w:val="1"/>
      <w:numFmt w:val="bullet"/>
      <w:lvlText w:val="◦"/>
      <w:lvlJc w:val="start"/>
      <w:pPr>
        <w:tabs>
          <w:tab w:val="num" w:pos="1004"/>
        </w:tabs>
        <w:ind w:start="1004" w:hanging="360"/>
      </w:pPr>
      <w:rPr>
        <w:rFonts w:ascii="OpenSymbol" w:hAnsi="OpenSymbol" w:cs="OpenSymbol" w:hint="default"/>
      </w:rPr>
    </w:lvl>
    <w:lvl w:ilvl="2">
      <w:start w:val="1"/>
      <w:numFmt w:val="bullet"/>
      <w:lvlText w:val="▪"/>
      <w:lvlJc w:val="start"/>
      <w:pPr>
        <w:tabs>
          <w:tab w:val="num" w:pos="1364"/>
        </w:tabs>
        <w:ind w:start="1364" w:hanging="360"/>
      </w:pPr>
      <w:rPr>
        <w:rFonts w:ascii="OpenSymbol" w:hAnsi="OpenSymbol" w:cs="OpenSymbol" w:hint="default"/>
      </w:rPr>
    </w:lvl>
    <w:lvl w:ilvl="3">
      <w:start w:val="1"/>
      <w:numFmt w:val="bullet"/>
      <w:lvlText w:val=""/>
      <w:lvlJc w:val="start"/>
      <w:pPr>
        <w:tabs>
          <w:tab w:val="num" w:pos="1724"/>
        </w:tabs>
        <w:ind w:start="1724" w:hanging="360"/>
      </w:pPr>
      <w:rPr>
        <w:rFonts w:ascii="Symbol" w:hAnsi="Symbol" w:cs="Symbol" w:hint="default"/>
      </w:rPr>
    </w:lvl>
    <w:lvl w:ilvl="4">
      <w:start w:val="1"/>
      <w:numFmt w:val="bullet"/>
      <w:lvlText w:val="◦"/>
      <w:lvlJc w:val="start"/>
      <w:pPr>
        <w:tabs>
          <w:tab w:val="num" w:pos="2084"/>
        </w:tabs>
        <w:ind w:start="2084" w:hanging="360"/>
      </w:pPr>
      <w:rPr>
        <w:rFonts w:ascii="OpenSymbol" w:hAnsi="OpenSymbol" w:cs="OpenSymbol" w:hint="default"/>
      </w:rPr>
    </w:lvl>
    <w:lvl w:ilvl="5">
      <w:start w:val="1"/>
      <w:numFmt w:val="bullet"/>
      <w:lvlText w:val="▪"/>
      <w:lvlJc w:val="start"/>
      <w:pPr>
        <w:tabs>
          <w:tab w:val="num" w:pos="2444"/>
        </w:tabs>
        <w:ind w:start="2444" w:hanging="360"/>
      </w:pPr>
      <w:rPr>
        <w:rFonts w:ascii="OpenSymbol" w:hAnsi="OpenSymbol" w:cs="OpenSymbol" w:hint="default"/>
      </w:rPr>
    </w:lvl>
    <w:lvl w:ilvl="6">
      <w:start w:val="1"/>
      <w:numFmt w:val="bullet"/>
      <w:lvlText w:val=""/>
      <w:lvlJc w:val="start"/>
      <w:pPr>
        <w:tabs>
          <w:tab w:val="num" w:pos="2804"/>
        </w:tabs>
        <w:ind w:start="2804" w:hanging="360"/>
      </w:pPr>
      <w:rPr>
        <w:rFonts w:ascii="Symbol" w:hAnsi="Symbol" w:cs="Symbol" w:hint="default"/>
      </w:rPr>
    </w:lvl>
    <w:lvl w:ilvl="7">
      <w:start w:val="1"/>
      <w:numFmt w:val="bullet"/>
      <w:lvlText w:val="◦"/>
      <w:lvlJc w:val="start"/>
      <w:pPr>
        <w:tabs>
          <w:tab w:val="num" w:pos="3164"/>
        </w:tabs>
        <w:ind w:start="3164" w:hanging="360"/>
      </w:pPr>
      <w:rPr>
        <w:rFonts w:ascii="OpenSymbol" w:hAnsi="OpenSymbol" w:cs="OpenSymbol" w:hint="default"/>
      </w:rPr>
    </w:lvl>
    <w:lvl w:ilvl="8">
      <w:start w:val="1"/>
      <w:numFmt w:val="bullet"/>
      <w:lvlText w:val="▪"/>
      <w:lvlJc w:val="start"/>
      <w:pPr>
        <w:tabs>
          <w:tab w:val="num" w:pos="3524"/>
        </w:tabs>
        <w:ind w:start="3524" w:hanging="360"/>
      </w:pPr>
      <w:rPr>
        <w:rFonts w:ascii="OpenSymbol" w:hAnsi="OpenSymbol" w:cs="OpenSymbol" w:hint="default"/>
      </w:rPr>
    </w:lvl>
  </w:abstractNum>
  <w:abstractNum w:abstractNumId="31">
    <w:lvl w:ilvl="0">
      <w:start w:val="1"/>
      <w:numFmt w:val="bullet"/>
      <w:lvlText w:val=""/>
      <w:lvlJc w:val="start"/>
      <w:pPr>
        <w:tabs>
          <w:tab w:val="num" w:pos="644"/>
        </w:tabs>
        <w:ind w:start="644" w:hanging="360"/>
      </w:pPr>
      <w:rPr>
        <w:rFonts w:ascii="Symbol" w:hAnsi="Symbol" w:cs="Symbol" w:hint="default"/>
      </w:rPr>
    </w:lvl>
    <w:lvl w:ilvl="1">
      <w:start w:val="1"/>
      <w:numFmt w:val="bullet"/>
      <w:lvlText w:val="◦"/>
      <w:lvlJc w:val="start"/>
      <w:pPr>
        <w:tabs>
          <w:tab w:val="num" w:pos="1004"/>
        </w:tabs>
        <w:ind w:start="1004" w:hanging="360"/>
      </w:pPr>
      <w:rPr>
        <w:rFonts w:ascii="OpenSymbol" w:hAnsi="OpenSymbol" w:cs="OpenSymbol" w:hint="default"/>
      </w:rPr>
    </w:lvl>
    <w:lvl w:ilvl="2">
      <w:start w:val="1"/>
      <w:numFmt w:val="bullet"/>
      <w:lvlText w:val="▪"/>
      <w:lvlJc w:val="start"/>
      <w:pPr>
        <w:tabs>
          <w:tab w:val="num" w:pos="1364"/>
        </w:tabs>
        <w:ind w:start="1364" w:hanging="360"/>
      </w:pPr>
      <w:rPr>
        <w:rFonts w:ascii="OpenSymbol" w:hAnsi="OpenSymbol" w:cs="OpenSymbol" w:hint="default"/>
      </w:rPr>
    </w:lvl>
    <w:lvl w:ilvl="3">
      <w:start w:val="1"/>
      <w:numFmt w:val="bullet"/>
      <w:lvlText w:val=""/>
      <w:lvlJc w:val="start"/>
      <w:pPr>
        <w:tabs>
          <w:tab w:val="num" w:pos="1724"/>
        </w:tabs>
        <w:ind w:start="1724" w:hanging="360"/>
      </w:pPr>
      <w:rPr>
        <w:rFonts w:ascii="Symbol" w:hAnsi="Symbol" w:cs="Symbol" w:hint="default"/>
      </w:rPr>
    </w:lvl>
    <w:lvl w:ilvl="4">
      <w:start w:val="1"/>
      <w:numFmt w:val="bullet"/>
      <w:lvlText w:val="◦"/>
      <w:lvlJc w:val="start"/>
      <w:pPr>
        <w:tabs>
          <w:tab w:val="num" w:pos="2084"/>
        </w:tabs>
        <w:ind w:start="2084" w:hanging="360"/>
      </w:pPr>
      <w:rPr>
        <w:rFonts w:ascii="OpenSymbol" w:hAnsi="OpenSymbol" w:cs="OpenSymbol" w:hint="default"/>
      </w:rPr>
    </w:lvl>
    <w:lvl w:ilvl="5">
      <w:start w:val="1"/>
      <w:numFmt w:val="bullet"/>
      <w:lvlText w:val="▪"/>
      <w:lvlJc w:val="start"/>
      <w:pPr>
        <w:tabs>
          <w:tab w:val="num" w:pos="2444"/>
        </w:tabs>
        <w:ind w:start="2444" w:hanging="360"/>
      </w:pPr>
      <w:rPr>
        <w:rFonts w:ascii="OpenSymbol" w:hAnsi="OpenSymbol" w:cs="OpenSymbol" w:hint="default"/>
      </w:rPr>
    </w:lvl>
    <w:lvl w:ilvl="6">
      <w:start w:val="1"/>
      <w:numFmt w:val="bullet"/>
      <w:lvlText w:val=""/>
      <w:lvlJc w:val="start"/>
      <w:pPr>
        <w:tabs>
          <w:tab w:val="num" w:pos="2804"/>
        </w:tabs>
        <w:ind w:start="2804" w:hanging="360"/>
      </w:pPr>
      <w:rPr>
        <w:rFonts w:ascii="Symbol" w:hAnsi="Symbol" w:cs="Symbol" w:hint="default"/>
      </w:rPr>
    </w:lvl>
    <w:lvl w:ilvl="7">
      <w:start w:val="1"/>
      <w:numFmt w:val="bullet"/>
      <w:lvlText w:val="◦"/>
      <w:lvlJc w:val="start"/>
      <w:pPr>
        <w:tabs>
          <w:tab w:val="num" w:pos="3164"/>
        </w:tabs>
        <w:ind w:start="3164" w:hanging="360"/>
      </w:pPr>
      <w:rPr>
        <w:rFonts w:ascii="OpenSymbol" w:hAnsi="OpenSymbol" w:cs="OpenSymbol" w:hint="default"/>
      </w:rPr>
    </w:lvl>
    <w:lvl w:ilvl="8">
      <w:start w:val="1"/>
      <w:numFmt w:val="bullet"/>
      <w:lvlText w:val="▪"/>
      <w:lvlJc w:val="start"/>
      <w:pPr>
        <w:tabs>
          <w:tab w:val="num" w:pos="3524"/>
        </w:tabs>
        <w:ind w:start="3524" w:hanging="360"/>
      </w:pPr>
      <w:rPr>
        <w:rFonts w:ascii="OpenSymbol" w:hAnsi="OpenSymbol" w:cs="OpenSymbol" w:hint="default"/>
      </w:rPr>
    </w:lvl>
  </w:abstractNum>
  <w:abstractNum w:abstractNumId="32">
    <w:lvl w:ilvl="0">
      <w:start w:val="1"/>
      <w:numFmt w:val="decimal"/>
      <w:lvlText w:val="%1."/>
      <w:lvlJc w:val="start"/>
      <w:pPr>
        <w:tabs>
          <w:tab w:val="num" w:pos="0"/>
        </w:tabs>
        <w:ind w:start="720" w:hanging="360"/>
      </w:pPr>
      <w:rPr>
        <w:rFonts w:cs="Times New Roman"/>
      </w:rPr>
    </w:lvl>
    <w:lvl w:ilvl="1">
      <w:start w:val="1"/>
      <w:numFmt w:val="lowerLetter"/>
      <w:lvlText w:val="%2)"/>
      <w:lvlJc w:val="start"/>
      <w:pPr>
        <w:tabs>
          <w:tab w:val="num" w:pos="1440"/>
        </w:tabs>
        <w:ind w:start="1440" w:hanging="360"/>
      </w:pPr>
      <w:rPr>
        <w:b w:val="false"/>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33">
    <w:lvl w:ilvl="0">
      <w:start w:val="1"/>
      <w:numFmt w:val="lowerLetter"/>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4">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4"/>
    <w:lvlOverride w:ilvl="0">
      <w:startOverride w:val="1"/>
    </w:lvlOverride>
  </w:num>
  <w:num w:numId="49">
    <w:abstractNumId w:val="34"/>
  </w:num>
  <w:num w:numId="50">
    <w:abstractNumId w:val="34"/>
  </w:num>
  <w:num w:numId="51">
    <w:abstractNumId w:val="34"/>
  </w:num>
  <w:num w:numId="52">
    <w:abstractNumId w:val="34"/>
  </w:num>
  <w:num w:numId="53">
    <w:abstractNumId w:val="34"/>
  </w:num>
  <w:num w:numId="54">
    <w:abstractNumId w:val="34"/>
  </w:num>
  <w:num w:numId="55">
    <w:abstractNumId w:val="34"/>
  </w:num>
  <w:num w:numId="56">
    <w:abstractNumId w:val="34"/>
  </w:num>
  <w:num w:numId="57">
    <w:abstractNumId w:val="34"/>
  </w:num>
  <w:num w:numId="58">
    <w:abstractNumId w:val="34"/>
  </w:num>
  <w:num w:numId="59">
    <w:abstractNumId w:val="34"/>
  </w:num>
  <w:num w:numId="60">
    <w:abstractNumId w:val="34"/>
  </w:num>
  <w:num w:numId="61">
    <w:abstractNumId w:val="34"/>
  </w:num>
</w:numbering>
</file>

<file path=word/settings.xml><?xml version="1.0" encoding="utf-8"?>
<w:settings xmlns:w="http://schemas.openxmlformats.org/wordprocessingml/2006/main">
  <w:zoom w:percent="100"/>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86983"/>
    <w:pPr>
      <w:widowControl/>
      <w:suppressAutoHyphens w:val="true"/>
      <w:bidi w:val="0"/>
      <w:spacing w:before="0" w:after="0"/>
      <w:jc w:val="start"/>
    </w:pPr>
    <w:rPr>
      <w:rFonts w:ascii="Arial" w:hAnsi="Arial" w:eastAsia="Times New Roman" w:cs="Times New Roman"/>
      <w:color w:val="auto"/>
      <w:kern w:val="0"/>
      <w:sz w:val="22"/>
      <w:szCs w:val="22"/>
      <w:lang w:eastAsia="zh-CN" w:val="cs-CZ" w:bidi="ar-SA"/>
    </w:rPr>
  </w:style>
  <w:style w:type="paragraph" w:styleId="Nadpis1">
    <w:name w:val="Heading 1"/>
    <w:basedOn w:val="Normal"/>
    <w:next w:val="Normal"/>
    <w:qFormat/>
    <w:rsid w:val="00086983"/>
    <w:pPr>
      <w:keepNext w:val="true"/>
      <w:numPr>
        <w:ilvl w:val="0"/>
        <w:numId w:val="1"/>
      </w:numPr>
      <w:jc w:val="both"/>
      <w:outlineLvl w:val="0"/>
    </w:pPr>
    <w:rPr>
      <w:sz w:val="24"/>
    </w:rPr>
  </w:style>
  <w:style w:type="paragraph" w:styleId="Nadpis2">
    <w:name w:val="Heading 2"/>
    <w:basedOn w:val="Normal"/>
    <w:next w:val="Normal"/>
    <w:qFormat/>
    <w:rsid w:val="00086983"/>
    <w:pPr>
      <w:keepNext w:val="true"/>
      <w:numPr>
        <w:ilvl w:val="1"/>
        <w:numId w:val="1"/>
      </w:numPr>
      <w:jc w:val="center"/>
      <w:outlineLvl w:val="1"/>
    </w:pPr>
    <w:rPr>
      <w:b/>
      <w:sz w:val="24"/>
    </w:rPr>
  </w:style>
  <w:style w:type="paragraph" w:styleId="Nadpis3">
    <w:name w:val="Heading 3"/>
    <w:basedOn w:val="Normal"/>
    <w:next w:val="Normal"/>
    <w:qFormat/>
    <w:rsid w:val="00086983"/>
    <w:pPr>
      <w:keepNext w:val="true"/>
      <w:numPr>
        <w:ilvl w:val="2"/>
        <w:numId w:val="1"/>
      </w:numPr>
      <w:jc w:val="both"/>
      <w:outlineLvl w:val="2"/>
    </w:pPr>
    <w:rPr>
      <w:b/>
      <w:sz w:val="24"/>
    </w:rPr>
  </w:style>
  <w:style w:type="paragraph" w:styleId="Nadpis4">
    <w:name w:val="Heading 4"/>
    <w:basedOn w:val="Normal"/>
    <w:next w:val="Normal"/>
    <w:qFormat/>
    <w:rsid w:val="00086983"/>
    <w:pPr>
      <w:keepNext w:val="true"/>
      <w:numPr>
        <w:ilvl w:val="3"/>
        <w:numId w:val="1"/>
      </w:numPr>
      <w:jc w:val="center"/>
      <w:outlineLvl w:val="3"/>
    </w:pPr>
    <w:rPr>
      <w:sz w:val="24"/>
    </w:rPr>
  </w:style>
  <w:style w:type="paragraph" w:styleId="Nadpis5">
    <w:name w:val="Heading 5"/>
    <w:basedOn w:val="Normal"/>
    <w:next w:val="Normal"/>
    <w:qFormat/>
    <w:rsid w:val="00086983"/>
    <w:pPr>
      <w:keepNext w:val="true"/>
      <w:widowControl w:val="false"/>
      <w:numPr>
        <w:ilvl w:val="4"/>
        <w:numId w:val="1"/>
      </w:numPr>
      <w:jc w:val="center"/>
      <w:outlineLvl w:val="4"/>
    </w:pPr>
    <w:rPr>
      <w:b/>
    </w:rPr>
  </w:style>
  <w:style w:type="paragraph" w:styleId="Nadpis6">
    <w:name w:val="Heading 6"/>
    <w:basedOn w:val="Normal"/>
    <w:next w:val="Normal"/>
    <w:qFormat/>
    <w:rsid w:val="00086983"/>
    <w:pPr>
      <w:keepNext w:val="true"/>
      <w:numPr>
        <w:ilvl w:val="5"/>
        <w:numId w:val="1"/>
      </w:numPr>
      <w:jc w:val="center"/>
      <w:outlineLvl w:val="5"/>
    </w:pPr>
    <w:rPr>
      <w:b/>
      <w:sz w:val="28"/>
    </w:rPr>
  </w:style>
  <w:style w:type="paragraph" w:styleId="Nadpis7">
    <w:name w:val="Heading 7"/>
    <w:basedOn w:val="Normal"/>
    <w:next w:val="Normal"/>
    <w:qFormat/>
    <w:rsid w:val="00086983"/>
    <w:pPr>
      <w:keepNext w:val="true"/>
      <w:numPr>
        <w:ilvl w:val="6"/>
        <w:numId w:val="1"/>
      </w:numPr>
      <w:spacing w:before="120" w:after="0"/>
      <w:jc w:val="center"/>
      <w:outlineLvl w:val="6"/>
    </w:pPr>
    <w:rPr>
      <w:b/>
      <w:u w:val="single"/>
    </w:rPr>
  </w:style>
  <w:style w:type="paragraph" w:styleId="Nadpis8">
    <w:name w:val="Heading 8"/>
    <w:basedOn w:val="Normal"/>
    <w:next w:val="Normal"/>
    <w:qFormat/>
    <w:rsid w:val="00086983"/>
    <w:pPr>
      <w:numPr>
        <w:ilvl w:val="7"/>
        <w:numId w:val="1"/>
      </w:numPr>
      <w:spacing w:before="240" w:after="60"/>
      <w:outlineLvl w:val="7"/>
    </w:pPr>
    <w:rPr>
      <w:i/>
      <w:iCs/>
      <w:sz w:val="24"/>
      <w:szCs w:val="24"/>
    </w:rPr>
  </w:style>
  <w:style w:type="paragraph" w:styleId="Nadpis9">
    <w:name w:val="Heading 9"/>
    <w:basedOn w:val="Normal"/>
    <w:next w:val="Normal"/>
    <w:qFormat/>
    <w:rsid w:val="00086983"/>
    <w:pPr>
      <w:numPr>
        <w:ilvl w:val="8"/>
        <w:numId w:val="1"/>
      </w:numPr>
      <w:spacing w:before="240" w:after="60"/>
      <w:outlineLvl w:val="8"/>
    </w:pPr>
    <w:rPr>
      <w:rFonts w:cs="Arial"/>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rFonts w:cs="Times New Roman"/>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uiPriority w:val="22"/>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067699"/>
    <w:rPr>
      <w:color w:val="0000FF"/>
      <w:u w:val="single"/>
    </w:rPr>
  </w:style>
  <w:style w:type="character" w:styleId="TextkomenteChar" w:customStyle="1">
    <w:name w:val="Text komentáře Char"/>
    <w:basedOn w:val="DefaultParagraphFont"/>
    <w:link w:val="Textkomente"/>
    <w:semiHidden/>
    <w:qFormat/>
    <w:rsid w:val="007e4599"/>
    <w:rPr>
      <w:rFonts w:ascii="Arial" w:hAnsi="Arial"/>
      <w:sz w:val="22"/>
      <w:szCs w:val="22"/>
      <w:lang w:eastAsia="zh-CN"/>
    </w:rPr>
  </w:style>
  <w:style w:type="character" w:styleId="UnresolvedMention">
    <w:name w:val="Unresolved Mention"/>
    <w:basedOn w:val="DefaultParagraphFont"/>
    <w:uiPriority w:val="99"/>
    <w:semiHidden/>
    <w:unhideWhenUsed/>
    <w:qFormat/>
    <w:rsid w:val="008f711f"/>
    <w:rPr>
      <w:color w:val="605E5C"/>
      <w:shd w:fill="E1DFDD" w:val="clear"/>
    </w:rPr>
  </w:style>
  <w:style w:type="character" w:styleId="Linenumber">
    <w:name w:val="line number"/>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rsid w:val="00086983"/>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 w:customStyle="1">
    <w:name w:val="Titulek1"/>
    <w:basedOn w:val="Normal"/>
    <w:next w:val="Normal"/>
    <w:qFormat/>
    <w:rsid w:val="00086983"/>
    <w:pPr>
      <w:spacing w:before="120" w:after="0"/>
      <w:jc w:val="center"/>
    </w:pPr>
    <w:rPr>
      <w:rFonts w:ascii="Stamp" w:hAnsi="Stamp" w:cs="Stamp"/>
      <w:b/>
      <w:sz w:val="24"/>
    </w:rPr>
  </w:style>
  <w:style w:type="paragraph" w:styleId="Zhlavazpat" w:customStyle="1">
    <w:name w:val="Záhlaví a zápatí"/>
    <w:basedOn w:val="Normal"/>
    <w:qFormat/>
    <w:pPr/>
    <w:rPr/>
  </w:style>
  <w:style w:type="paragraph" w:styleId="Zhlav">
    <w:name w:val="Header"/>
    <w:basedOn w:val="Normal"/>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
    <w:name w:val="Footer"/>
    <w:basedOn w:val="Normal"/>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star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Poznmkapodarou">
    <w:name w:val="Footnote Text"/>
    <w:basedOn w:val="Normal"/>
    <w:rsid w:val="00086983"/>
    <w:pPr/>
    <w:rPr/>
  </w:style>
  <w:style w:type="paragraph" w:styleId="Odstavecseseznamem1" w:customStyle="1">
    <w:name w:val="Odstavec se seznamem1"/>
    <w:basedOn w:val="Normal"/>
    <w:qFormat/>
    <w:rsid w:val="00086983"/>
    <w:pPr>
      <w:ind w:start="708" w:hanging="0"/>
    </w:pPr>
    <w:rPr/>
  </w:style>
  <w:style w:type="paragraph" w:styleId="Textkomente2" w:customStyle="1">
    <w:name w:val="Text komentáře2"/>
    <w:basedOn w:val="Normal"/>
    <w:qFormat/>
    <w:rsid w:val="00086983"/>
    <w:pPr/>
    <w:rPr/>
  </w:style>
  <w:style w:type="paragraph" w:styleId="Annotationtext">
    <w:name w:val="annotation text"/>
    <w:basedOn w:val="Normal"/>
    <w:link w:val="TextkomenteChar"/>
    <w:semiHidden/>
    <w:qFormat/>
    <w:rsid w:val="007d7e57"/>
    <w:pPr/>
    <w:rPr/>
  </w:style>
  <w:style w:type="paragraph" w:styleId="ListParagraph">
    <w:name w:val="List Paragraph"/>
    <w:basedOn w:val="Normal"/>
    <w:uiPriority w:val="34"/>
    <w:qFormat/>
    <w:rsid w:val="00dc2f31"/>
    <w:pPr>
      <w:spacing w:before="0" w:after="0"/>
      <w:ind w:start="720" w:hanging="0"/>
      <w:contextualSpacing/>
    </w:pPr>
    <w:rPr/>
  </w:style>
  <w:style w:type="paragraph" w:styleId="Default" w:customStyle="1">
    <w:name w:val="Default"/>
    <w:qFormat/>
    <w:rsid w:val="00053e57"/>
    <w:pPr>
      <w:widowControl/>
      <w:suppressAutoHyphens w:val="true"/>
      <w:bidi w:val="0"/>
      <w:spacing w:before="0" w:after="0"/>
      <w:jc w:val="start"/>
    </w:pPr>
    <w:rPr>
      <w:rFonts w:ascii="Verdana" w:hAnsi="Verdana" w:cs="Verdana" w:eastAsia="Times New Roman"/>
      <w:color w:val="000000"/>
      <w:kern w:val="0"/>
      <w:sz w:val="24"/>
      <w:szCs w:val="24"/>
      <w:lang w:val="cs-CZ" w:eastAsia="cs-CZ" w:bidi="ar-SA"/>
    </w:rPr>
  </w:style>
  <w:style w:type="paragraph" w:styleId="Zhlav1" w:customStyle="1">
    <w:name w:val="Záhlaví1"/>
    <w:basedOn w:val="Normal"/>
    <w:qFormat/>
    <w:rsid w:val="00cf4fb7"/>
    <w:pPr>
      <w:tabs>
        <w:tab w:val="clear" w:pos="709"/>
        <w:tab w:val="center" w:pos="4536" w:leader="none"/>
        <w:tab w:val="right" w:pos="9072" w:leader="none"/>
      </w:tabs>
      <w:spacing w:before="100" w:after="100"/>
    </w:pPr>
    <w:rPr>
      <w:rFonts w:ascii="Times New Roman" w:hAnsi="Times New Roman" w:eastAsia="Arial" w:cs="Courier New"/>
      <w:sz w:val="24"/>
      <w:szCs w:val="24"/>
      <w:lang w:eastAsia="cs-CZ"/>
    </w:rPr>
  </w:style>
  <w:style w:type="paragraph" w:styleId="Zpat1" w:customStyle="1">
    <w:name w:val="Zápatí1"/>
    <w:basedOn w:val="Normal"/>
    <w:qFormat/>
    <w:rsid w:val="00cf4fb7"/>
    <w:pPr>
      <w:tabs>
        <w:tab w:val="clear" w:pos="709"/>
        <w:tab w:val="center" w:pos="4536" w:leader="none"/>
        <w:tab w:val="right" w:pos="9072" w:leader="none"/>
      </w:tabs>
      <w:spacing w:before="100" w:after="100"/>
    </w:pPr>
    <w:rPr>
      <w:rFonts w:ascii="Times New Roman" w:hAnsi="Times New Roman" w:eastAsia="Arial" w:cs="Courier New"/>
      <w:sz w:val="24"/>
      <w:szCs w:val="24"/>
      <w:lang w:eastAsia="cs-CZ"/>
    </w:rPr>
  </w:style>
  <w:style w:type="paragraph" w:styleId="Koment" w:customStyle="1">
    <w:name w:val="Komentář"/>
    <w:basedOn w:val="Normal"/>
    <w:qFormat/>
    <w:pPr>
      <w:spacing w:before="56" w:after="0"/>
      <w:ind w:start="57" w:end="57" w:hanging="0"/>
    </w:pPr>
    <w:rPr>
      <w:sz w:val="20"/>
      <w:szCs w:val="20"/>
    </w:rPr>
  </w:style>
  <w:style w:type="paragraph" w:styleId="NormalWeb">
    <w:name w:val="Normal (Web)"/>
    <w:basedOn w:val="Normal"/>
    <w:uiPriority w:val="99"/>
    <w:semiHidden/>
    <w:unhideWhenUsed/>
    <w:qFormat/>
    <w:rsid w:val="004c29d8"/>
    <w:pPr>
      <w:suppressAutoHyphens w:val="false"/>
      <w:spacing w:beforeAutospacing="1" w:afterAutospacing="1"/>
    </w:pPr>
    <w:rPr>
      <w:rFonts w:ascii="Times New Roman" w:hAnsi="Times New Roman"/>
      <w:sz w:val="24"/>
      <w:szCs w:val="24"/>
      <w:lang w:eastAsia="cs-CZ"/>
    </w:rPr>
  </w:style>
  <w:style w:type="numbering" w:styleId="NoList" w:default="1">
    <w:name w:val="No List"/>
    <w:uiPriority w:val="99"/>
    <w:semiHidden/>
    <w:unhideWhenUsed/>
    <w:qFormat/>
  </w:style>
  <w:style w:type="numbering" w:styleId="Bezseznamu" w:customStyle="1">
    <w:name w:val="Bez seznamu"/>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azky.nmnm.cz/" TargetMode="External"/><Relationship Id="rId3" Type="http://schemas.openxmlformats.org/officeDocument/2006/relationships/hyperlink" Target="https://vys.krajdtm.cz/portal-vys/" TargetMode="External"/><Relationship Id="rId4" Type="http://schemas.openxmlformats.org/officeDocument/2006/relationships/footer" Target="footer1.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35FA7-0E11-4461-81F5-022E0F07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Application>LibreOffice/7.2.7.2$Windows_X86_64 LibreOffice_project/8d71d29d553c0f7dcbfa38fbfda25ee34cce99a2</Application>
  <AppVersion>15.0000</AppVersion>
  <Pages>26</Pages>
  <Words>10604</Words>
  <Characters>62888</Characters>
  <CharactersWithSpaces>73716</CharactersWithSpaces>
  <Paragraphs>387</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2025-11-11T07:10:00Z</dcterms:created>
  <dc:creator>Mgr. Jaroslava Homolková</dc:creator>
  <dc:description/>
  <dc:language>cs-CZ</dc:language>
  <cp:lastModifiedBy/>
  <cp:lastPrinted>2025-11-12T05:00:00Z</cp:lastPrinted>
  <dcterms:modified xsi:type="dcterms:W3CDTF">2026-01-21T10:51:59Z</dcterms:modified>
  <cp:revision>47</cp:revision>
  <dc:subject/>
  <dc:title>Smlouva o dílo</dc:title>
</cp:coreProperties>
</file>

<file path=docProps/custom.xml><?xml version="1.0" encoding="utf-8"?>
<Properties xmlns="http://schemas.openxmlformats.org/officeDocument/2006/custom-properties" xmlns:vt="http://schemas.openxmlformats.org/officeDocument/2006/docPropsVTypes"/>
</file>