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 w:val="left" w:pos="1276" w:leader="none"/>
        </w:tabs>
        <w:jc w:val="center"/>
        <w:rPr>
          <w:rFonts w:cs="Arial"/>
          <w:b/>
          <w:b/>
          <w:sz w:val="32"/>
          <w:szCs w:val="32"/>
        </w:rPr>
      </w:pPr>
      <w:r>
        <w:rPr>
          <w:rFonts w:cs="Arial"/>
          <w:b/>
          <w:sz w:val="32"/>
          <w:szCs w:val="32"/>
        </w:rPr>
      </w:r>
    </w:p>
    <w:p>
      <w:pPr>
        <w:pStyle w:val="Normal"/>
        <w:tabs>
          <w:tab w:val="clear" w:pos="709"/>
          <w:tab w:val="left" w:pos="426" w:leader="none"/>
          <w:tab w:val="left" w:pos="851" w:leader="none"/>
          <w:tab w:val="left" w:pos="1134" w:leader="none"/>
        </w:tabs>
        <w:jc w:val="both"/>
        <w:rPr>
          <w:rFonts w:eastAsia="Arial" w:cs="Arial"/>
          <w:b/>
          <w:b/>
        </w:rPr>
      </w:pPr>
      <w:r>
        <w:rPr>
          <w:rFonts w:eastAsia="Arial" w:cs="Arial"/>
          <w:b/>
        </w:rPr>
      </w:r>
    </w:p>
    <w:p>
      <w:pPr>
        <w:pStyle w:val="Normal"/>
        <w:tabs>
          <w:tab w:val="clear" w:pos="709"/>
          <w:tab w:val="left" w:pos="426" w:leader="none"/>
          <w:tab w:val="left" w:pos="851" w:leader="none"/>
          <w:tab w:val="left" w:pos="1134" w:leader="none"/>
        </w:tabs>
        <w:jc w:val="both"/>
        <w:rPr/>
      </w:pPr>
      <w:r>
        <w:rPr>
          <w:rFonts w:cs="Arial"/>
        </w:rPr>
        <w:t>1.</w:t>
        <w:tab/>
      </w:r>
      <w:r>
        <w:rPr>
          <w:rFonts w:cs="Arial"/>
          <w:b/>
        </w:rPr>
        <w:t>Město Nové Město na Moravě</w:t>
      </w:r>
    </w:p>
    <w:p>
      <w:pPr>
        <w:pStyle w:val="Normal"/>
        <w:tabs>
          <w:tab w:val="clear" w:pos="709"/>
          <w:tab w:val="left" w:pos="426" w:leader="none"/>
          <w:tab w:val="left" w:pos="851" w:leader="none"/>
          <w:tab w:val="left" w:pos="1134" w:leader="none"/>
        </w:tabs>
        <w:jc w:val="both"/>
        <w:rPr/>
      </w:pPr>
      <w:r>
        <w:rPr>
          <w:rFonts w:cs="Arial"/>
        </w:rPr>
        <w:tab/>
        <w:t>se sídlem Vratislavovo nám. 103, 592 31 Nové Město na Moravě</w:t>
      </w:r>
    </w:p>
    <w:p>
      <w:pPr>
        <w:pStyle w:val="Normal"/>
        <w:tabs>
          <w:tab w:val="clear" w:pos="709"/>
          <w:tab w:val="left" w:pos="426" w:leader="none"/>
          <w:tab w:val="left" w:pos="851" w:leader="none"/>
          <w:tab w:val="left" w:pos="1134" w:leader="none"/>
        </w:tabs>
        <w:jc w:val="both"/>
        <w:rPr/>
      </w:pPr>
      <w:r>
        <w:rPr>
          <w:rFonts w:cs="Arial"/>
        </w:rPr>
        <w:tab/>
        <w:t xml:space="preserve">zastoupené </w:t>
      </w:r>
      <w:r>
        <w:rPr>
          <w:rFonts w:cs="Arial"/>
          <w:b/>
        </w:rPr>
        <w:t>Bc. Jaroslavem Lemperou</w:t>
      </w:r>
      <w:r>
        <w:rPr>
          <w:rFonts w:cs="Arial"/>
        </w:rPr>
        <w:t>, místostarostou města</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tab/>
        <w:t>Josef Dvořák, referent odboru investic</w:t>
      </w:r>
    </w:p>
    <w:p>
      <w:pPr>
        <w:pStyle w:val="Normal"/>
        <w:tabs>
          <w:tab w:val="clear" w:pos="709"/>
          <w:tab w:val="left" w:pos="426" w:leader="none"/>
          <w:tab w:val="left" w:pos="851" w:leader="none"/>
          <w:tab w:val="left" w:pos="1134" w:leader="none"/>
          <w:tab w:val="left" w:pos="4678" w:leader="none"/>
        </w:tabs>
        <w:jc w:val="both"/>
        <w:rPr/>
      </w:pPr>
      <w:r>
        <w:rPr>
          <w:rFonts w:eastAsia="Arial" w:cs="Arial"/>
        </w:rPr>
        <w:t xml:space="preserve">                                                                           </w:t>
      </w:r>
      <w:r>
        <w:rPr>
          <w:rFonts w:cs="Arial"/>
        </w:rPr>
        <w:tab/>
        <w:t>Mgr. Daniela Krejčí, vedoucí odboru investic</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134" w:leader="none"/>
        </w:tabs>
        <w:jc w:val="both"/>
        <w:rPr/>
      </w:pPr>
      <w:r>
        <w:rPr>
          <w:rFonts w:cs="Arial"/>
        </w:rPr>
        <w:tab/>
        <w:t>IČ: 00294900</w:t>
      </w:r>
    </w:p>
    <w:p>
      <w:pPr>
        <w:pStyle w:val="Normal"/>
        <w:tabs>
          <w:tab w:val="clear" w:pos="709"/>
          <w:tab w:val="left" w:pos="426" w:leader="none"/>
          <w:tab w:val="left" w:pos="851" w:leader="none"/>
          <w:tab w:val="left" w:pos="1134" w:leader="none"/>
        </w:tabs>
        <w:jc w:val="both"/>
        <w:rPr/>
      </w:pPr>
      <w:r>
        <w:rPr>
          <w:rFonts w:cs="Arial"/>
        </w:rPr>
        <w:tab/>
        <w:t>bankovní spojení: Komerční banka, a.s.</w:t>
      </w:r>
    </w:p>
    <w:p>
      <w:pPr>
        <w:pStyle w:val="Normal"/>
        <w:tabs>
          <w:tab w:val="clear" w:pos="709"/>
          <w:tab w:val="left" w:pos="426" w:leader="none"/>
          <w:tab w:val="left" w:pos="851" w:leader="none"/>
          <w:tab w:val="left" w:pos="1134" w:leader="none"/>
        </w:tabs>
        <w:jc w:val="both"/>
        <w:rPr/>
      </w:pPr>
      <w:r>
        <w:rPr>
          <w:rFonts w:cs="Arial"/>
        </w:rPr>
        <w:tab/>
        <w:t>č.ú.: 1224751/0100</w:t>
      </w:r>
    </w:p>
    <w:p>
      <w:pPr>
        <w:pStyle w:val="Normal"/>
        <w:tabs>
          <w:tab w:val="clear" w:pos="709"/>
          <w:tab w:val="left" w:pos="426" w:leader="none"/>
          <w:tab w:val="left" w:pos="851" w:leader="none"/>
          <w:tab w:val="left" w:pos="1134" w:leader="none"/>
        </w:tabs>
        <w:jc w:val="both"/>
        <w:rPr/>
      </w:pPr>
      <w:r>
        <w:rPr>
          <w:rFonts w:cs="Arial"/>
        </w:rPr>
        <w:tab/>
      </w:r>
      <w:r>
        <w:rPr>
          <w:rFonts w:cs="Arial"/>
          <w:i/>
        </w:rPr>
        <w:t>(dále jen „objednatel“)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jc w:val="both"/>
        <w:rPr/>
      </w:pPr>
      <w:r>
        <w:rPr>
          <w:rFonts w:cs="Arial"/>
        </w:rPr>
        <w:tab/>
        <w:t>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276" w:leader="none"/>
        </w:tabs>
        <w:jc w:val="both"/>
        <w:rPr/>
      </w:pPr>
      <w:r>
        <w:rPr>
          <w:rFonts w:cs="Arial"/>
        </w:rPr>
        <w:t xml:space="preserve">2.    </w:t>
      </w:r>
      <w:r>
        <w:rPr>
          <w:rFonts w:cs="Arial"/>
          <w:b/>
          <w:highlight w:val="yellow"/>
        </w:rPr>
        <w:t>obchodní název</w:t>
      </w:r>
      <w:r>
        <w:rPr>
          <w:rFonts w:cs="Arial"/>
        </w:rPr>
        <w:t xml:space="preserve">             </w:t>
      </w:r>
      <w:r>
        <w:rPr>
          <w:rFonts w:cs="Arial"/>
          <w:i/>
        </w:rPr>
        <w:t>- verze pro právnickou osobu</w:t>
      </w:r>
    </w:p>
    <w:p>
      <w:pPr>
        <w:pStyle w:val="Normal"/>
        <w:tabs>
          <w:tab w:val="clear" w:pos="709"/>
          <w:tab w:val="left" w:pos="426" w:leader="none"/>
          <w:tab w:val="left" w:pos="851" w:leader="none"/>
          <w:tab w:val="left" w:pos="1276" w:leader="none"/>
        </w:tabs>
        <w:jc w:val="both"/>
        <w:rPr/>
      </w:pPr>
      <w:r>
        <w:rPr>
          <w:rFonts w:cs="Arial"/>
        </w:rPr>
        <w:tab/>
        <w:t xml:space="preserve">se sídlem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zastoupená </w:t>
      </w:r>
      <w:r>
        <w:rPr>
          <w:rFonts w:cs="Arial"/>
          <w:b/>
          <w:highlight w:val="yellow"/>
        </w:rPr>
        <w:t>………… ………..</w:t>
      </w:r>
      <w:r>
        <w:rPr>
          <w:rFonts w:cs="Arial"/>
          <w:highlight w:val="yellow"/>
        </w:rPr>
        <w:t>, …………………….</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r>
      <w:r>
        <w:rPr>
          <w:rFonts w:cs="Arial"/>
          <w:highlight w:val="yellow"/>
        </w:rPr>
        <w:t>………………….., ……………………..</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rFonts w:cs="Arial"/>
        </w:rPr>
      </w:pPr>
      <w:r>
        <w:rPr>
          <w:rFonts w:cs="Arial"/>
        </w:rPr>
        <w:tab/>
        <w:t xml:space="preserve">DIČ: </w:t>
      </w:r>
      <w:r>
        <w:rPr>
          <w:rFonts w:cs="Arial"/>
          <w:highlight w:val="yellow"/>
        </w:rPr>
        <w:t>CZ…………….</w:t>
      </w:r>
      <w:r>
        <w:rPr>
          <w:rFonts w:cs="Arial"/>
        </w:rPr>
        <w:t xml:space="preserve">/ </w:t>
      </w:r>
      <w:r>
        <w:rPr>
          <w:rFonts w:cs="Arial"/>
          <w:highlight w:val="yellow"/>
        </w:rPr>
        <w:t xml:space="preserve">Neplátce </w:t>
      </w:r>
      <w:commentRangeStart w:id="0"/>
      <w:r>
        <w:rPr>
          <w:rFonts w:cs="Arial"/>
          <w:highlight w:val="yellow"/>
        </w:rPr>
        <w:t>DPH.</w:t>
      </w:r>
      <w:commentRangeEnd w:id="0"/>
      <w:r>
        <w:commentReference w:id="0"/>
      </w:r>
      <w:r>
        <w:rPr>
          <w:rFonts w:cs="Arial"/>
          <w:highlight w:val="yellow"/>
        </w:rPr>
      </w:r>
    </w:p>
    <w:p>
      <w:pPr>
        <w:pStyle w:val="Normal"/>
        <w:tabs>
          <w:tab w:val="clear" w:pos="709"/>
          <w:tab w:val="left" w:pos="426" w:leader="none"/>
          <w:tab w:val="left" w:pos="851" w:leader="none"/>
          <w:tab w:val="left" w:pos="1276" w:leader="none"/>
        </w:tabs>
        <w:jc w:val="both"/>
        <w:rPr/>
      </w:pPr>
      <w:r>
        <w:rPr>
          <w:rFonts w:cs="Arial"/>
        </w:rPr>
        <w:tab/>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zapsaná v obchodním rejstříku vedeném Krajským soudem v </w:t>
      </w:r>
      <w:r>
        <w:rPr>
          <w:rFonts w:cs="Arial"/>
          <w:highlight w:val="yellow"/>
        </w:rPr>
        <w:t xml:space="preserve">………, </w:t>
      </w:r>
      <w:r>
        <w:rPr>
          <w:rFonts w:cs="Arial"/>
        </w:rPr>
        <w:t xml:space="preserve">spis.zn.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276" w:leader="none"/>
        </w:tabs>
        <w:jc w:val="both"/>
        <w:rPr>
          <w:rFonts w:cs="Arial"/>
          <w:b/>
          <w:b/>
          <w:i/>
          <w:i/>
        </w:rPr>
      </w:pPr>
      <w:r>
        <w:rPr>
          <w:rFonts w:cs="Arial"/>
          <w:b/>
          <w:i/>
        </w:rPr>
      </w:r>
    </w:p>
    <w:p>
      <w:pPr>
        <w:pStyle w:val="Normal"/>
        <w:tabs>
          <w:tab w:val="clear" w:pos="709"/>
          <w:tab w:val="left" w:pos="426" w:leader="none"/>
          <w:tab w:val="left" w:pos="851" w:leader="none"/>
          <w:tab w:val="left" w:pos="1276" w:leader="none"/>
        </w:tabs>
        <w:jc w:val="both"/>
        <w:rPr/>
      </w:pPr>
      <w:r>
        <w:rPr>
          <w:rFonts w:cs="Arial"/>
          <w:b/>
        </w:rPr>
        <w:tab/>
      </w:r>
      <w:r>
        <w:rPr>
          <w:rFonts w:cs="Arial"/>
          <w:b/>
          <w:highlight w:val="yellow"/>
        </w:rPr>
        <w:t>jméno a příjmení</w:t>
      </w:r>
      <w:r>
        <w:rPr>
          <w:rFonts w:cs="Arial"/>
        </w:rPr>
        <w:t xml:space="preserve">,       </w:t>
      </w:r>
      <w:r>
        <w:rPr>
          <w:rFonts w:cs="Arial"/>
          <w:i/>
        </w:rPr>
        <w:t>- verze pro fyzickou osobu – podnikatele</w:t>
      </w:r>
    </w:p>
    <w:p>
      <w:pPr>
        <w:pStyle w:val="Normal"/>
        <w:tabs>
          <w:tab w:val="clear" w:pos="709"/>
          <w:tab w:val="left" w:pos="426" w:leader="none"/>
          <w:tab w:val="left" w:pos="851" w:leader="none"/>
          <w:tab w:val="left" w:pos="1276" w:leader="none"/>
        </w:tabs>
        <w:jc w:val="both"/>
        <w:rPr/>
      </w:pPr>
      <w:r>
        <w:rPr>
          <w:rFonts w:cs="Arial"/>
          <w:i/>
        </w:rPr>
        <w:tab/>
      </w:r>
      <w:r>
        <w:rPr>
          <w:rFonts w:cs="Arial"/>
        </w:rPr>
        <w:t xml:space="preserve">sídlo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DIČ: </w:t>
      </w:r>
      <w:r>
        <w:rPr>
          <w:rFonts w:cs="Arial"/>
          <w:highlight w:val="yellow"/>
        </w:rPr>
        <w:t>…….…………</w:t>
      </w:r>
      <w:r>
        <w:rPr>
          <w:rFonts w:cs="Arial"/>
        </w:rPr>
        <w:t xml:space="preserve">/ </w:t>
      </w:r>
      <w:r>
        <w:rPr>
          <w:rFonts w:cs="Arial"/>
          <w:highlight w:val="yellow"/>
        </w:rPr>
        <w:t xml:space="preserve">Neplátce </w:t>
      </w:r>
      <w:commentRangeStart w:id="1"/>
      <w:r>
        <w:rPr>
          <w:rFonts w:cs="Arial"/>
          <w:highlight w:val="yellow"/>
        </w:rPr>
        <w:t>DPH.</w:t>
      </w:r>
      <w:r>
        <w:rPr>
          <w:rFonts w:cs="Arial"/>
          <w:highlight w:val="yellow"/>
        </w:rPr>
      </w:r>
      <w:commentRangeEnd w:id="1"/>
      <w:r>
        <w:commentReference w:id="1"/>
      </w:r>
      <w:r>
        <w:rPr>
          <w:rFonts w:cs="Arial"/>
        </w:rPr>
        <w:t xml:space="preserve"> </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zapsán v živnostenském rejstříku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spacing w:before="80" w:after="0"/>
        <w:jc w:val="both"/>
        <w:rPr/>
      </w:pPr>
      <w:r>
        <w:rPr>
          <w:rFonts w:cs="Arial"/>
        </w:rPr>
        <w:t>uzavírají níže uvedeného dne, měsíce a roku v souladu s ust. § 2586 a násl. a ve spojení s ust. § 2623 a násl. zákona č. 89/2012 Sb., občanský zákoník, v platném a účinném znění (dále jen „občanský zákoník“) tuto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sz w:val="32"/>
          <w:szCs w:val="32"/>
        </w:rPr>
        <w:t xml:space="preserve">Smlouvu o dílo č. </w:t>
      </w:r>
      <w:r>
        <w:rPr>
          <w:rFonts w:cs="Arial"/>
          <w:b/>
          <w:sz w:val="32"/>
          <w:szCs w:val="32"/>
          <w:highlight w:val="yellow"/>
        </w:rPr>
        <w:t>…………</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pPr>
      <w:r>
        <w:rPr/>
        <w:t>přičemž se pro účely této smlouvy doplňuje vymezení pojmů takto:</w:t>
      </w:r>
    </w:p>
    <w:p>
      <w:pPr>
        <w:pStyle w:val="Normal"/>
        <w:numPr>
          <w:ilvl w:val="0"/>
          <w:numId w:val="30"/>
        </w:numPr>
        <w:tabs>
          <w:tab w:val="clear" w:pos="709"/>
          <w:tab w:val="left" w:pos="426" w:leader="none"/>
          <w:tab w:val="left" w:pos="851" w:leader="none"/>
          <w:tab w:val="left" w:pos="1134" w:leader="none"/>
        </w:tabs>
        <w:jc w:val="both"/>
        <w:rPr/>
      </w:pPr>
      <w:r>
        <w:rPr/>
        <w:t>objednatelem je zadavatel po uzavření smlouvy na plnění veřejné zakázky nebo zakázky;</w:t>
      </w:r>
    </w:p>
    <w:p>
      <w:pPr>
        <w:pStyle w:val="Normal"/>
        <w:numPr>
          <w:ilvl w:val="0"/>
          <w:numId w:val="30"/>
        </w:numPr>
        <w:tabs>
          <w:tab w:val="clear" w:pos="709"/>
          <w:tab w:val="left" w:pos="426" w:leader="none"/>
          <w:tab w:val="left" w:pos="851" w:leader="none"/>
          <w:tab w:val="left" w:pos="1134" w:leader="none"/>
        </w:tabs>
        <w:jc w:val="both"/>
        <w:rPr/>
      </w:pPr>
      <w:r>
        <w:rPr/>
        <w:t>zhotovitelem je dodavatel po uzavření smlouvy na plnění veřejné zakázky nebo zakázky;</w:t>
      </w:r>
    </w:p>
    <w:p>
      <w:pPr>
        <w:pStyle w:val="Normal"/>
        <w:numPr>
          <w:ilvl w:val="0"/>
          <w:numId w:val="30"/>
        </w:numPr>
        <w:tabs>
          <w:tab w:val="clear" w:pos="709"/>
          <w:tab w:val="left" w:pos="426" w:leader="none"/>
          <w:tab w:val="left" w:pos="851" w:leader="none"/>
          <w:tab w:val="left" w:pos="1134" w:leader="none"/>
        </w:tabs>
        <w:jc w:val="both"/>
        <w:rPr/>
      </w:pPr>
      <w:r>
        <w:rPr/>
        <w:t>podzhotovitelem je poddodavatel po uzavření smlouvy na plnění veřejné zakázky nebo zakázky;</w:t>
      </w:r>
    </w:p>
    <w:p>
      <w:pPr>
        <w:pStyle w:val="Normal"/>
        <w:numPr>
          <w:ilvl w:val="0"/>
          <w:numId w:val="30"/>
        </w:numPr>
        <w:tabs>
          <w:tab w:val="clear" w:pos="709"/>
          <w:tab w:val="left" w:pos="426" w:leader="none"/>
          <w:tab w:val="left" w:pos="851" w:leader="none"/>
          <w:tab w:val="left" w:pos="1134" w:leader="none"/>
        </w:tabs>
        <w:jc w:val="both"/>
        <w:rPr/>
      </w:pPr>
      <w:r>
        <w:rPr/>
        <w:t>příslušnou dokumentací je dokumentace zpracovaná v rozsahu stanoveném jiným právním předpisem (vyhláškou č. 169/2016 Sb.);</w:t>
      </w:r>
    </w:p>
    <w:p>
      <w:pPr>
        <w:pStyle w:val="Normal"/>
        <w:numPr>
          <w:ilvl w:val="0"/>
          <w:numId w:val="30"/>
        </w:numPr>
        <w:tabs>
          <w:tab w:val="clear" w:pos="709"/>
          <w:tab w:val="left" w:pos="426" w:leader="none"/>
          <w:tab w:val="left" w:pos="851" w:leader="none"/>
          <w:tab w:val="left" w:pos="1134" w:leader="none"/>
        </w:tabs>
        <w:jc w:val="both"/>
        <w:rPr/>
      </w:pPr>
      <w:r>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w:t>
      </w:r>
    </w:p>
    <w:p>
      <w:pPr>
        <w:pStyle w:val="Normal"/>
        <w:tabs>
          <w:tab w:val="clear" w:pos="709"/>
          <w:tab w:val="left" w:pos="426" w:leader="none"/>
          <w:tab w:val="left" w:pos="851" w:leader="none"/>
          <w:tab w:val="left" w:pos="1134" w:leader="none"/>
        </w:tabs>
        <w:jc w:val="center"/>
        <w:rPr/>
      </w:pPr>
      <w:r>
        <w:rPr>
          <w:rFonts w:cs="Arial"/>
          <w:b/>
        </w:rPr>
        <w:t>Předmět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Zhotovitel se touto smlouvou zavazuje na vlastní náklady, riziko a nebezpečí a za podmínek této smlouvy řádně provést pro objednatele dílo </w:t>
      </w:r>
      <w:r>
        <w:rPr>
          <w:rFonts w:eastAsia="Arial" w:cs="Arial"/>
          <w:b/>
          <w:spacing w:val="-4"/>
        </w:rPr>
        <w:t>„Chodník Pohledec, II.etapa“</w:t>
      </w:r>
      <w:r>
        <w:rPr>
          <w:rFonts w:eastAsia="Arial" w:cs="Arial"/>
          <w:spacing w:val="-4"/>
        </w:rPr>
        <w:t xml:space="preserve"> </w:t>
      </w:r>
      <w:r>
        <w:rPr>
          <w:rFonts w:cs="Arial"/>
        </w:rPr>
        <w:t xml:space="preserve"> (dále jen „dílo“ nebo „stavba“) specifikované dále v této smlouvě, a předat jej objednateli v dohodnutém termínu, a objednatel se zavazuje řádně a včas provedené dílo převzít a zaplatit za něj zhotoviteli dohodnutou cenu.</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Závaznými podklady, kterými se sjednává obsah, rozsah, způsob a podmínky provedení díla jsou:</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 xml:space="preserve">projektová dokumentace ve stupni DPS „Chodník Pohledec, II. etapa“, zpracovaná fy ENVIGEST PRO s.r.o., Žďárská 990, 592 31 Nové Město na Moravě v 03/2024 pod zak.č. 24P14, včetně dokladové části (dále také jen „projektová dokumentace“ nebo „PD“); </w:t>
      </w:r>
      <w:r>
        <w:rPr>
          <w:rFonts w:cs="Arial"/>
          <w:b/>
        </w:rPr>
        <w:t xml:space="preserve"> </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zadávací dokumentace veřejné zakázky „Chodník Pohledec, II. etapa“ (projektová a textová část vč. výkazu výměr) zveřejněná objednatelem jako zadavatelem v rámci zadávacího/výběrového řízení na profilu zadavatele https://zakazky.nmnm.cz/ (dále také jen „zadávací dokumentace“);</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rFonts w:cs="Arial"/>
        </w:rPr>
      </w:pPr>
      <w:r>
        <w:rPr>
          <w:rFonts w:cs="Arial"/>
        </w:rPr>
        <w:t>nabídka zhotovitele, vč. nabídkového položkového rozpočtu zhotovitele, krycího listu nabídky a harmonogramu postupu prací;</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 xml:space="preserve">pravomocná povolení stavby, vyjádření dotčených subjektů a účastníků řízení; </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ustanovení příslušných technických norem a předpisů platných v době realizace díla a ustanovení technologických předpisů výrobců jednotlivých částí díla;</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návody k montáži, k uvedení do provozu a k obsluze jednotlivých částí díla, pokud k těmto částem byly vypracovány,</w:t>
      </w:r>
    </w:p>
    <w:p>
      <w:pPr>
        <w:pStyle w:val="Normal"/>
        <w:tabs>
          <w:tab w:val="clear" w:pos="709"/>
          <w:tab w:val="left" w:pos="426" w:leader="none"/>
          <w:tab w:val="left" w:pos="851" w:leader="none"/>
          <w:tab w:val="left" w:pos="1134" w:leader="none"/>
        </w:tabs>
        <w:spacing w:before="80" w:after="0"/>
        <w:ind w:start="426" w:hanging="0"/>
        <w:jc w:val="both"/>
        <w:rPr/>
      </w:pPr>
      <w:r>
        <w:rPr/>
      </w:r>
    </w:p>
    <w:p>
      <w:pPr>
        <w:pStyle w:val="Normal"/>
        <w:tabs>
          <w:tab w:val="clear" w:pos="709"/>
          <w:tab w:val="left" w:pos="426" w:leader="none"/>
          <w:tab w:val="left" w:pos="851" w:leader="none"/>
          <w:tab w:val="left" w:pos="1134" w:leader="none"/>
        </w:tabs>
        <w:spacing w:before="80" w:after="0"/>
        <w:ind w:start="426" w:hanging="0"/>
        <w:jc w:val="both"/>
        <w:rPr>
          <w:rFonts w:cs="Arial"/>
        </w:rPr>
      </w:pPr>
      <w:r>
        <w:rPr>
          <w:rFonts w:cs="Arial"/>
        </w:rPr>
        <w:t xml:space="preserve">přičemž objednatel nad rámec výše uvedených bodů stanovuje následující </w:t>
      </w:r>
      <w:r>
        <w:rPr>
          <w:rFonts w:cs="Arial"/>
          <w:b/>
        </w:rPr>
        <w:t>požadavky na asfaltové povrchy</w:t>
      </w:r>
      <w:r>
        <w:rPr>
          <w:rFonts w:cs="Arial"/>
        </w:rPr>
        <w:t>:</w:t>
      </w:r>
    </w:p>
    <w:p>
      <w:pPr>
        <w:pStyle w:val="Normal"/>
        <w:numPr>
          <w:ilvl w:val="0"/>
          <w:numId w:val="28"/>
        </w:numPr>
        <w:tabs>
          <w:tab w:val="clear" w:pos="709"/>
          <w:tab w:val="left" w:pos="426" w:leader="none"/>
          <w:tab w:val="left" w:pos="851" w:leader="none"/>
          <w:tab w:val="left" w:pos="1134" w:leader="none"/>
        </w:tabs>
        <w:spacing w:before="80" w:after="0"/>
        <w:jc w:val="both"/>
        <w:rPr>
          <w:rFonts w:cs="Arial"/>
        </w:rPr>
      </w:pPr>
      <w:r>
        <w:rPr>
          <w:rFonts w:cs="Arial"/>
        </w:rPr>
        <w:t xml:space="preserve">tloušťky navržených asfaltových vrstev v projektové dokumentaci i v soupisu prací jsou tloušťky </w:t>
      </w:r>
      <w:r>
        <w:rPr>
          <w:rFonts w:cs="Arial"/>
          <w:b/>
        </w:rPr>
        <w:t xml:space="preserve">minimální </w:t>
      </w:r>
      <w:r>
        <w:rPr>
          <w:rFonts w:cs="Arial"/>
        </w:rPr>
        <w:t>a musí být dodrženy v celé ploše prováděného asfaltového povrchu</w:t>
      </w:r>
    </w:p>
    <w:p>
      <w:pPr>
        <w:pStyle w:val="Normal"/>
        <w:numPr>
          <w:ilvl w:val="0"/>
          <w:numId w:val="28"/>
        </w:numPr>
        <w:tabs>
          <w:tab w:val="clear" w:pos="709"/>
          <w:tab w:val="left" w:pos="426" w:leader="none"/>
          <w:tab w:val="left" w:pos="851" w:leader="none"/>
          <w:tab w:val="left" w:pos="1134" w:leader="none"/>
        </w:tabs>
        <w:spacing w:before="80" w:after="0"/>
        <w:jc w:val="both"/>
        <w:rPr/>
      </w:pPr>
      <w:r>
        <w:rPr>
          <w:rFonts w:cs="Arial"/>
          <w:b/>
        </w:rPr>
        <w:t>mezerovitost horní asfaltové vrstvy musí být po zhutnění v rozmezí 3 – 5 %</w:t>
      </w:r>
      <w:r>
        <w:rPr>
          <w:rFonts w:cs="Arial"/>
        </w:rPr>
        <w:t>, což zhotovitel doloží protokolem o zkoušce zhutnění</w:t>
      </w:r>
    </w:p>
    <w:p>
      <w:pPr>
        <w:pStyle w:val="Normal"/>
        <w:numPr>
          <w:ilvl w:val="0"/>
          <w:numId w:val="28"/>
        </w:numPr>
        <w:tabs>
          <w:tab w:val="clear" w:pos="709"/>
          <w:tab w:val="left" w:pos="426" w:leader="none"/>
          <w:tab w:val="left" w:pos="851" w:leader="none"/>
          <w:tab w:val="left" w:pos="1134" w:leader="none"/>
        </w:tabs>
        <w:spacing w:before="80" w:after="0"/>
        <w:jc w:val="both"/>
        <w:rPr/>
      </w:pPr>
      <w:r>
        <w:rPr>
          <w:rFonts w:cs="Arial"/>
        </w:rPr>
        <w:t>mezerovitost spodní asfaltové vrstvy je stanovena dle ČSN, tj. platí normový požadavek, který je v rozmezí 2,5 – 8,5 %, což zhotovitel doloží protokolem o zkoušce zhutnění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Zhotovitel se zavazuje dílo provést dle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Součástí díla je rovněž: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zajištění a předání předepsaných zkoušek, revizí, atestů, certifikátů a dalších dokladů vztahujících se k dílu v rozsahu, kvalitě a s výsledky podle platných předpisů, příp. podle projektové dokumentace;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komplexní vyzkoušení všech částí díla za účasti objednatele a zástupců budoucího uživatele;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předání návodu/návodů k obsluze, používání a údržbě příslušných částí díla, zaškolení obsluhy vč. předání dokladu o tomto zaškolení, předání záručních listů v odpovídajícím rozsahu;</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vyhotovení a předání zaměření skutečného provedení stavby do digitální technické mapy takto:</w:t>
      </w:r>
    </w:p>
    <w:p>
      <w:pPr>
        <w:pStyle w:val="Normal"/>
        <w:tabs>
          <w:tab w:val="clear" w:pos="709"/>
          <w:tab w:val="left" w:pos="426" w:leader="none"/>
          <w:tab w:val="left" w:pos="851" w:leader="none"/>
          <w:tab w:val="left" w:pos="1134" w:leader="none"/>
        </w:tabs>
        <w:spacing w:before="80" w:after="0"/>
        <w:ind w:start="851" w:hanging="0"/>
        <w:jc w:val="both"/>
        <w:rPr>
          <w:rFonts w:cs="Arial"/>
        </w:rPr>
      </w:pPr>
      <w:r>
        <w:rPr>
          <w:rFonts w:cs="Arial"/>
        </w:rPr>
        <w:t>Při aktualizaci základní prostorové situace (ZPS) zhotovitel:</w:t>
      </w:r>
    </w:p>
    <w:p>
      <w:pPr>
        <w:pStyle w:val="Normal"/>
        <w:suppressAutoHyphens w:val="false"/>
        <w:ind w:start="851" w:hanging="0"/>
        <w:rPr>
          <w:rFonts w:cs="Arial"/>
          <w:color w:val="000000"/>
          <w:lang w:eastAsia="cs-CZ"/>
        </w:rPr>
      </w:pPr>
      <w:r>
        <w:rPr>
          <w:rFonts w:cs="Arial"/>
          <w:sz w:val="26"/>
          <w:szCs w:val="26"/>
          <w:lang w:eastAsia="cs-CZ"/>
        </w:rPr>
        <w:t xml:space="preserve">• </w:t>
      </w:r>
      <w:r>
        <w:rPr>
          <w:rFonts w:cs="Arial"/>
          <w:color w:val="000000"/>
          <w:lang w:eastAsia="cs-CZ"/>
        </w:rPr>
        <w:t>předá zaměření skutečného provedení stavby ověřené autorizovaným zeměměřickým inženýrem (AZI). Součástí zaměření skutečného provedení stavby bude:</w:t>
      </w:r>
    </w:p>
    <w:p>
      <w:pPr>
        <w:pStyle w:val="ListParagraph"/>
        <w:tabs>
          <w:tab w:val="clear" w:pos="709"/>
          <w:tab w:val="left" w:pos="993" w:leader="none"/>
        </w:tabs>
        <w:suppressAutoHyphens w:val="false"/>
        <w:ind w:start="644" w:hanging="0"/>
        <w:rPr>
          <w:rFonts w:cs="Arial"/>
          <w:color w:val="000000"/>
          <w:lang w:eastAsia="cs-CZ"/>
        </w:rPr>
      </w:pPr>
      <w:r>
        <w:rPr>
          <w:rFonts w:cs="Arial"/>
          <w:color w:val="000000"/>
          <w:lang w:eastAsia="cs-CZ"/>
        </w:rPr>
        <w:tab/>
        <w:t>o   výkres ve formátech DGN a PDF</w:t>
      </w:r>
    </w:p>
    <w:p>
      <w:pPr>
        <w:pStyle w:val="ListParagraph"/>
        <w:tabs>
          <w:tab w:val="clear" w:pos="709"/>
          <w:tab w:val="left" w:pos="993" w:leader="none"/>
        </w:tabs>
        <w:suppressAutoHyphens w:val="false"/>
        <w:ind w:start="644" w:hanging="0"/>
        <w:rPr>
          <w:rFonts w:cs="Arial"/>
          <w:color w:val="000000"/>
          <w:lang w:eastAsia="cs-CZ"/>
        </w:rPr>
      </w:pPr>
      <w:r>
        <w:rPr>
          <w:rFonts w:cs="Arial"/>
          <w:color w:val="000000"/>
          <w:lang w:eastAsia="cs-CZ"/>
        </w:rPr>
        <w:tab/>
        <w:t>o   technická zpráva ve formátu DOCX</w:t>
      </w:r>
    </w:p>
    <w:p>
      <w:pPr>
        <w:pStyle w:val="ListParagraph"/>
        <w:tabs>
          <w:tab w:val="clear" w:pos="709"/>
          <w:tab w:val="left" w:pos="993" w:leader="none"/>
        </w:tabs>
        <w:suppressAutoHyphens w:val="false"/>
        <w:ind w:start="644" w:hanging="0"/>
        <w:rPr>
          <w:rFonts w:cs="Arial"/>
          <w:color w:val="000000"/>
          <w:lang w:eastAsia="cs-CZ"/>
        </w:rPr>
      </w:pPr>
      <w:r>
        <w:rPr>
          <w:rFonts w:cs="Arial"/>
          <w:color w:val="000000"/>
          <w:lang w:eastAsia="cs-CZ"/>
        </w:rPr>
        <w:tab/>
        <w:t>o   seznam souřadnic ve formátu TXT</w:t>
      </w:r>
    </w:p>
    <w:p>
      <w:pPr>
        <w:pStyle w:val="ListParagraph"/>
        <w:tabs>
          <w:tab w:val="clear" w:pos="709"/>
          <w:tab w:val="left" w:pos="993" w:leader="none"/>
        </w:tabs>
        <w:suppressAutoHyphens w:val="false"/>
        <w:ind w:start="644" w:hanging="0"/>
        <w:rPr>
          <w:rFonts w:cs="Arial"/>
        </w:rPr>
      </w:pPr>
      <w:r>
        <w:rPr>
          <w:rFonts w:cs="Arial"/>
          <w:color w:val="000000"/>
          <w:lang w:eastAsia="cs-CZ"/>
        </w:rPr>
        <w:tab/>
        <w:t>o   tabulka s výměrami nově vzniklých zpevněných ploch členěná dle druhu a materiálu</w:t>
      </w:r>
    </w:p>
    <w:p>
      <w:pPr>
        <w:pStyle w:val="Normal"/>
        <w:suppressAutoHyphens w:val="false"/>
        <w:ind w:start="851" w:hanging="0"/>
        <w:rPr>
          <w:rFonts w:cs="Arial"/>
          <w:color w:val="000000"/>
          <w:lang w:eastAsia="cs-CZ"/>
        </w:rPr>
      </w:pPr>
      <w:r>
        <w:rPr>
          <w:rFonts w:cs="Arial"/>
          <w:sz w:val="26"/>
          <w:szCs w:val="26"/>
          <w:lang w:eastAsia="cs-CZ"/>
        </w:rPr>
        <w:t xml:space="preserve">• </w:t>
      </w:r>
      <w:r>
        <w:rPr>
          <w:rFonts w:cs="Arial"/>
          <w:color w:val="000000"/>
          <w:lang w:eastAsia="cs-CZ"/>
        </w:rPr>
        <w:t>prostřednictvím AZI (typ oprávnění C – dle § 16f, odst. 1 zákona 200/1994 Sb., o zeměměřictví) provede posouzení změn v základní prostorové situaci (ZPS) vedené v Digitální technické mapě Kraje Vysočina (DTM KV) (</w:t>
      </w:r>
      <w:hyperlink r:id="rId2">
        <w:r>
          <w:rPr>
            <w:rFonts w:cs="Arial"/>
            <w:color w:val="0000FF"/>
            <w:lang w:eastAsia="cs-CZ"/>
          </w:rPr>
          <w:t>https://vys.krajdtm.cz/portal-vys/</w:t>
        </w:r>
      </w:hyperlink>
      <w:r>
        <w:rPr/>
        <w:t>)</w:t>
      </w:r>
      <w:r>
        <w:rPr>
          <w:rFonts w:cs="Arial"/>
          <w:color w:val="000000"/>
          <w:lang w:eastAsia="cs-CZ"/>
        </w:rPr>
        <w:t xml:space="preserve">. Za změnu je považováno též doplnění objektů v DTM KV. V případě, že se změnila situace oproti ZPS vedené v DTM KV, AZI vyhotoví a předá podklad pro aktualizaci DTM (geodetickou aktualizační dokumentaci, tzv. GAD), a to: </w:t>
      </w:r>
    </w:p>
    <w:p>
      <w:pPr>
        <w:pStyle w:val="ListParagraph"/>
        <w:tabs>
          <w:tab w:val="clear" w:pos="709"/>
          <w:tab w:val="left" w:pos="993" w:leader="none"/>
        </w:tabs>
        <w:suppressAutoHyphens w:val="false"/>
        <w:jc w:val="both"/>
        <w:rPr>
          <w:rFonts w:cs="Arial"/>
          <w:color w:val="000000"/>
          <w:lang w:eastAsia="cs-CZ"/>
        </w:rPr>
      </w:pPr>
      <w:r>
        <w:rPr>
          <w:rFonts w:cs="Arial"/>
          <w:color w:val="000000"/>
          <w:lang w:eastAsia="cs-CZ"/>
        </w:rPr>
        <w:tab/>
        <w:t>o   ve verzi výměnného formátu aktuálně nasazené na Informačním systému Digitální mapy veřejné správy (IS DMVS) / Informačním systému Digitální technické mapy kraje (IS DTM),</w:t>
      </w:r>
    </w:p>
    <w:p>
      <w:pPr>
        <w:pStyle w:val="ListParagraph"/>
        <w:tabs>
          <w:tab w:val="clear" w:pos="709"/>
          <w:tab w:val="left" w:pos="993" w:leader="none"/>
        </w:tabs>
        <w:suppressAutoHyphens w:val="false"/>
        <w:ind w:start="644" w:hanging="0"/>
        <w:rPr>
          <w:rFonts w:cs="Arial"/>
          <w:color w:val="000000"/>
          <w:lang w:eastAsia="cs-CZ"/>
        </w:rPr>
      </w:pPr>
      <w:r>
        <w:rPr>
          <w:rFonts w:cs="Arial"/>
          <w:color w:val="000000"/>
          <w:lang w:eastAsia="cs-CZ"/>
        </w:rPr>
        <w:tab/>
        <w:t>o   zpracovaný v souladu s § 5, dle obsahu přílohy č. 3 vyhlášky č. 393/2020 Sb., o digitální technické mapě kraje (vyhláška DTM), v platném znění,</w:t>
      </w:r>
    </w:p>
    <w:p>
      <w:pPr>
        <w:pStyle w:val="ListParagraph"/>
        <w:tabs>
          <w:tab w:val="clear" w:pos="709"/>
          <w:tab w:val="left" w:pos="993" w:leader="none"/>
        </w:tabs>
        <w:suppressAutoHyphens w:val="false"/>
        <w:ind w:start="644" w:hanging="0"/>
        <w:rPr>
          <w:rFonts w:cs="Arial"/>
          <w:color w:val="000000"/>
          <w:lang w:eastAsia="cs-CZ"/>
        </w:rPr>
      </w:pPr>
      <w:r>
        <w:rPr>
          <w:rFonts w:cs="Arial"/>
          <w:color w:val="000000"/>
          <w:lang w:eastAsia="cs-CZ"/>
        </w:rPr>
        <w:tab/>
        <w:t>o   obsahující části dle přílohy č. 4 vyhlášky DTM,</w:t>
      </w:r>
    </w:p>
    <w:p>
      <w:pPr>
        <w:pStyle w:val="ListParagraph"/>
        <w:tabs>
          <w:tab w:val="clear" w:pos="709"/>
          <w:tab w:val="left" w:pos="993" w:leader="none"/>
        </w:tabs>
        <w:suppressAutoHyphens w:val="false"/>
        <w:ind w:start="644" w:hanging="0"/>
        <w:rPr>
          <w:rFonts w:cs="Arial"/>
          <w:color w:val="000000"/>
          <w:lang w:eastAsia="cs-CZ"/>
        </w:rPr>
      </w:pPr>
      <w:r>
        <w:rPr>
          <w:rFonts w:cs="Arial"/>
          <w:color w:val="000000"/>
          <w:lang w:eastAsia="cs-CZ"/>
        </w:rPr>
        <w:tab/>
        <w:t xml:space="preserve">o   vyhotovený s využitím stávajících údajů digitální technické mapy formou tzv. změnových vět. </w:t>
      </w:r>
    </w:p>
    <w:p>
      <w:pPr>
        <w:pStyle w:val="ListParagraph"/>
        <w:suppressAutoHyphens w:val="false"/>
        <w:ind w:start="644" w:hanging="0"/>
        <w:jc w:val="both"/>
        <w:rPr>
          <w:rFonts w:cs="Arial"/>
          <w:b/>
          <w:b/>
          <w:bCs/>
          <w:color w:val="000000"/>
          <w:lang w:eastAsia="cs-CZ"/>
        </w:rPr>
      </w:pPr>
      <w:r>
        <w:rPr>
          <w:rFonts w:cs="Arial"/>
          <w:b/>
          <w:bCs/>
          <w:color w:val="000000"/>
          <w:lang w:eastAsia="cs-CZ"/>
        </w:rPr>
        <w:t>Předáním podkladu pro aktualizaci DTM se rozumí vložení GAD do Portálu DMVS a předání protokolu o způsobilosti podkladu k zapracování objednateli.</w:t>
      </w:r>
    </w:p>
    <w:p>
      <w:pPr>
        <w:pStyle w:val="ListParagraph"/>
        <w:suppressAutoHyphens w:val="false"/>
        <w:ind w:start="644" w:hanging="0"/>
        <w:jc w:val="both"/>
        <w:rPr>
          <w:rFonts w:cs="Arial"/>
          <w:color w:val="000000"/>
          <w:lang w:eastAsia="cs-CZ"/>
        </w:rPr>
      </w:pPr>
      <w:r>
        <w:rPr>
          <w:rFonts w:cs="Arial"/>
          <w:color w:val="000000"/>
          <w:lang w:eastAsia="cs-CZ"/>
        </w:rPr>
        <w:t> </w:t>
      </w:r>
    </w:p>
    <w:p>
      <w:pPr>
        <w:pStyle w:val="ListParagraph"/>
        <w:tabs>
          <w:tab w:val="clear" w:pos="709"/>
          <w:tab w:val="left" w:pos="851" w:leader="none"/>
        </w:tabs>
        <w:suppressAutoHyphens w:val="false"/>
        <w:ind w:start="644" w:hanging="0"/>
        <w:jc w:val="both"/>
        <w:rPr>
          <w:rFonts w:cs="Arial"/>
          <w:color w:val="000000"/>
          <w:lang w:eastAsia="cs-CZ"/>
        </w:rPr>
      </w:pPr>
      <w:r>
        <w:rPr>
          <w:rFonts w:cs="Arial"/>
          <w:color w:val="000000"/>
          <w:lang w:eastAsia="cs-CZ"/>
        </w:rPr>
        <w:tab/>
        <w:t>Při aktualizaci dopravní a technické infrastruktury (DTI) ve vlastnictví města zhotovitel:</w:t>
      </w:r>
    </w:p>
    <w:p>
      <w:pPr>
        <w:pStyle w:val="Normal"/>
        <w:suppressAutoHyphens w:val="false"/>
        <w:ind w:start="851" w:hanging="0"/>
        <w:rPr>
          <w:rFonts w:cs="Arial"/>
          <w:color w:val="000000"/>
          <w:lang w:eastAsia="cs-CZ"/>
        </w:rPr>
      </w:pPr>
      <w:r>
        <w:rPr>
          <w:rFonts w:cs="Arial"/>
          <w:sz w:val="26"/>
          <w:szCs w:val="26"/>
          <w:lang w:eastAsia="cs-CZ"/>
        </w:rPr>
        <w:t xml:space="preserve">• </w:t>
      </w:r>
      <w:r>
        <w:rPr>
          <w:rFonts w:cs="Arial"/>
          <w:color w:val="000000"/>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p>
    <w:p>
      <w:pPr>
        <w:pStyle w:val="ListParagraph"/>
        <w:suppressAutoHyphens w:val="false"/>
        <w:ind w:start="851" w:hanging="0"/>
        <w:jc w:val="both"/>
        <w:rPr>
          <w:rFonts w:cs="Arial"/>
          <w:color w:val="000000"/>
          <w:lang w:eastAsia="cs-CZ"/>
        </w:rPr>
      </w:pPr>
      <w:r>
        <w:rPr>
          <w:rFonts w:cs="Arial"/>
          <w:color w:val="000000"/>
          <w:lang w:eastAsia="cs-CZ"/>
        </w:rPr>
        <w:t> </w:t>
      </w:r>
    </w:p>
    <w:p>
      <w:pPr>
        <w:pStyle w:val="Normal"/>
        <w:suppressAutoHyphens w:val="false"/>
        <w:ind w:start="851" w:hanging="0"/>
        <w:rPr>
          <w:rFonts w:cs="Arial"/>
          <w:color w:val="000000"/>
          <w:lang w:eastAsia="cs-CZ"/>
        </w:rPr>
      </w:pPr>
      <w:r>
        <w:rPr>
          <w:rFonts w:cs="Arial"/>
          <w:sz w:val="26"/>
          <w:szCs w:val="26"/>
          <w:lang w:eastAsia="cs-CZ"/>
        </w:rPr>
        <w:t xml:space="preserve">• </w:t>
      </w:r>
      <w:r>
        <w:rPr>
          <w:rFonts w:cs="Arial"/>
          <w:color w:val="000000"/>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p>
    <w:p>
      <w:pPr>
        <w:pStyle w:val="ListParagraph"/>
        <w:suppressAutoHyphens w:val="false"/>
        <w:ind w:start="644" w:hanging="0"/>
        <w:jc w:val="both"/>
        <w:rPr>
          <w:rFonts w:cs="Arial"/>
          <w:color w:val="000000"/>
          <w:lang w:eastAsia="cs-CZ"/>
        </w:rPr>
      </w:pPr>
      <w:r>
        <w:rPr>
          <w:rFonts w:cs="Arial"/>
          <w:color w:val="000000"/>
          <w:lang w:eastAsia="cs-CZ"/>
        </w:rPr>
      </w:r>
    </w:p>
    <w:p>
      <w:pPr>
        <w:pStyle w:val="ListParagraph"/>
        <w:tabs>
          <w:tab w:val="clear" w:pos="709"/>
          <w:tab w:val="left" w:pos="851" w:leader="none"/>
        </w:tabs>
        <w:suppressAutoHyphens w:val="false"/>
        <w:ind w:start="644" w:hanging="0"/>
        <w:jc w:val="both"/>
        <w:rPr>
          <w:rFonts w:cs="Arial"/>
          <w:color w:val="000000"/>
          <w:lang w:eastAsia="cs-CZ"/>
        </w:rPr>
      </w:pPr>
      <w:r>
        <w:rPr>
          <w:rFonts w:cs="Arial"/>
          <w:color w:val="000000"/>
          <w:lang w:eastAsia="cs-CZ"/>
        </w:rPr>
        <w:tab/>
        <w:t>Pro případ pasportizace údajů nad rámec obsahu DTM kraje zhotovitel předá ještě další údaje, a to pro DTM obce:</w:t>
      </w:r>
    </w:p>
    <w:p>
      <w:pPr>
        <w:pStyle w:val="Normal"/>
        <w:suppressAutoHyphens w:val="false"/>
        <w:ind w:start="851" w:hanging="0"/>
        <w:rPr/>
      </w:pPr>
      <w:r>
        <w:rPr>
          <w:rFonts w:cs="Arial"/>
          <w:sz w:val="26"/>
          <w:szCs w:val="26"/>
          <w:lang w:eastAsia="cs-CZ"/>
        </w:rPr>
        <w:t xml:space="preserve">• </w:t>
      </w:r>
      <w:r>
        <w:rPr>
          <w:rFonts w:cs="Arial"/>
          <w:color w:val="000000"/>
          <w:lang w:eastAsia="cs-CZ"/>
        </w:rPr>
        <w:t>předá objekty, které nejsou součástí DTM, ale jsou součástí pasportu komunikací, zeleně a dalších v samostatném výkresu pasport.dgn, v němž bude každý z jevů zpracován jako samostatná vrstva.</w:t>
        <w:br/>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projektu skutečného provedení stavby v rozsahu dle platných předpisů, a to</w:t>
      </w:r>
      <w:bookmarkStart w:id="0" w:name="Text33"/>
      <w:r>
        <w:rPr>
          <w:rFonts w:cs="Arial"/>
        </w:rPr>
        <w:t xml:space="preserve"> 3x </w:t>
      </w:r>
      <w:bookmarkEnd w:id="0"/>
      <w:r>
        <w:rPr>
          <w:rFonts w:cs="Arial"/>
        </w:rPr>
        <w:t>v listinné podobě a 1x v digitální formě;</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geometrických plánů pro zápis změn do katastru nemovitostí a příp. majetkové vypořádání ověřených katastrálním úřadem v potřebném počtu vyhotovení;</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protokolů o stanovení míry zhutnění jednotlivých asfaltových vrstev radiosondou či jiným prokazatelným způsobem;</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vytýčení stavby dle projektové dokumentace;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provedení foto či videodokumentace veškerých objektů a konstrukcí ve vlastnictví třetích osob přiléhajících ke stavbě, nebo jež mohou být stavbou dotčeny, a to před zahájením prací a po dokončení díla;</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demontáž stávajících konstrukcí a zařízení a jejich následná likvidace zákonným způsobem na náklad zhotovitele;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všech dokladů potřebných k uvedení stavby do trvalého provozu;</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dokladů o způsobu likvidace vzniklých odpadů dle zák. č. 541/2020 Sb., v platném znění;</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dokladů o převzetí inženýrských sítí dotčených výstavbou jejich správci nebo prohlášení, že daná inž. síť nebyla dotčena;</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fotodokumentace z průběhu stavby – v digitální podobě ve formátu jpg;</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zajištění a provedení všech organizačních, kompletačních a technologických činností nutných pro bezvadné a včasné provedení díla;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úplné vyčištění a vyklizení dokončené stavby a staveniště vč. jeho uvedení do původního či s objednatelem dohodnutého stavu;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Další podmínky realizace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si sám na vlastní náklady zajistí veškeré vytýčení inženýrských sítí a tyto převezme od jejich správců včetně převzetí povinností a odpovědnosti v návaznosti na platné předpisy a včetně převzetí povinností a odpovědnosti vyplývajících z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si sám na vlastní náklady zajistí projednání, povolení a provedení nutných uzavírek, objížděk (pokud bude třeba), zvláštního užívání veřejných ploch (překopy komunikací, zeleně, skládky materiálu,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střežení, atd.);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zajistí dozor a soustavnou kontrolu nad bezpečností práce při činnosti na staveništi. Jeho odpovědnost zahrnuje též odpovědnost za osoby, jež se s jeho vědomím zdržují na staveništi;</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si sám na vlastní náklady zajistí skládku materiálů a likvidaci vybouraného materiálu a odpadů vzniklých v průběhu provádění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stavba musí být rovněž provedena v souladu s podmínkami rozhodnutí – povolení stavby a s podmínkami dotčených subjektů v rámci povolovacího řízení; za splnění podmínek je zodpovědný zhotovitel;</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provede komplexní dodávku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provádět práce plynule, bez zbytečných průtahů, zdržení a přestávek, pokud nebude dohodnuto jinak;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rFonts w:cs="Arial"/>
        </w:rPr>
      </w:pPr>
      <w:r>
        <w:rPr>
          <w:rFonts w:cs="Arial"/>
        </w:rPr>
        <w:t xml:space="preserve">zhotovitel je povinen práce provádět tak, aby </w:t>
      </w:r>
      <w:r>
        <w:rPr>
          <w:rFonts w:eastAsia="SimSun" w:cs="Arial"/>
          <w:kern w:val="2"/>
          <w:lang w:bidi="hi-IN"/>
        </w:rPr>
        <w:t>docházelo k obtěžování a zatěžování jednotlivých uživatelů okolních domů imisemi v co nejmenší míře a co možná nejmenším rozsahu;</w:t>
      </w:r>
      <w:r>
        <w:rPr>
          <w:rFonts w:cs="Arial"/>
        </w:rPr>
        <w:t xml:space="preserve">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při návrhu technologických postupů a při vlastní realizaci stavby respektovat provoz stávajících objektů v dané lokalitě a v rámci daných možností minimalizovat dopady stavby na jejich obyvatele (zajištění přístupu, příjezdu, možnosti zásobování, svozu odpadu, prašnost, hlučnost, přepojování přípojek, atd.);</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práce s vlivem na okolní prostředí nesmějí probíhat v pracovní dny od 18:00 hod. do 06:30 hod., o sobotách od 16:00 hod. do 08:00 hod., o nedělích a svátcích vůbec, pokud nebude zápisem do stavebního deníku dohodnuto jinak;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na přístupové trasy ke staveništi umístit zřetelné informační tabule upozorňující na omezení/přerušení průchodu pěšími trasami vedoucími staveništěm a možné obcházkové trasy zřetelně označit;</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povinen po celou dobu provádění díla kontrolovat stav dotčených a sousedních konstrukcí stávajících objektů a v případě zjištění poruch, závad, apod. na tuto skutečnost neprodleně upozornit objednatele a učinit opatření, aby se tyto dále nezvětšovaly. V případě, že vznikly v důsledku činnosti zhotovitele, tyto bez zbytečného odkladu odstranit; </w:t>
      </w:r>
    </w:p>
    <w:p>
      <w:pPr>
        <w:pStyle w:val="Normal"/>
        <w:numPr>
          <w:ilvl w:val="0"/>
          <w:numId w:val="18"/>
        </w:numPr>
        <w:tabs>
          <w:tab w:val="clear" w:pos="709"/>
          <w:tab w:val="left" w:pos="426" w:leader="none"/>
          <w:tab w:val="left" w:pos="851" w:leader="none"/>
          <w:tab w:val="left" w:pos="1134" w:leader="none"/>
        </w:tabs>
        <w:spacing w:before="80" w:after="0"/>
        <w:jc w:val="both"/>
        <w:rPr>
          <w:b/>
          <w:b/>
        </w:rPr>
      </w:pPr>
      <w:r>
        <w:rPr>
          <w:rFonts w:cs="Arial"/>
        </w:rPr>
        <w:t xml:space="preserve">  </w:t>
      </w:r>
      <w:r>
        <w:rPr>
          <w:rFonts w:cs="Arial"/>
        </w:rPr>
        <w:t xml:space="preserve">zhotovitel je povinen po celou dobu stavby </w:t>
      </w:r>
      <w:r>
        <w:rPr>
          <w:rFonts w:cs="Arial"/>
          <w:b/>
        </w:rPr>
        <w:t>zajistit bezpečný přístup do rodinných domů v lokalitě stavby;</w:t>
      </w:r>
    </w:p>
    <w:p>
      <w:pPr>
        <w:pStyle w:val="Normal"/>
        <w:numPr>
          <w:ilvl w:val="0"/>
          <w:numId w:val="18"/>
        </w:numPr>
        <w:tabs>
          <w:tab w:val="clear" w:pos="709"/>
          <w:tab w:val="left" w:pos="426" w:leader="none"/>
          <w:tab w:val="left" w:pos="851" w:leader="none"/>
          <w:tab w:val="left" w:pos="1134" w:leader="none"/>
        </w:tabs>
        <w:spacing w:before="80" w:after="0"/>
        <w:jc w:val="both"/>
        <w:rPr>
          <w:b/>
          <w:b/>
        </w:rPr>
      </w:pPr>
      <w:r>
        <w:rPr>
          <w:rFonts w:cs="Arial"/>
        </w:rPr>
        <w:t xml:space="preserve">zhotovitel je povinen po celou dobu stavby </w:t>
      </w:r>
      <w:r>
        <w:rPr>
          <w:rFonts w:cs="Arial"/>
          <w:b/>
        </w:rPr>
        <w:t>zajistit funkční a bezpečný provoz autobusové zastávky.</w:t>
      </w:r>
    </w:p>
    <w:p>
      <w:pPr>
        <w:pStyle w:val="Normal"/>
        <w:numPr>
          <w:ilvl w:val="0"/>
          <w:numId w:val="18"/>
        </w:numPr>
        <w:tabs>
          <w:tab w:val="clear" w:pos="709"/>
          <w:tab w:val="left" w:pos="426" w:leader="none"/>
          <w:tab w:val="left" w:pos="851" w:leader="none"/>
          <w:tab w:val="left" w:pos="1134" w:leader="none"/>
        </w:tabs>
        <w:spacing w:before="80" w:after="0"/>
        <w:jc w:val="both"/>
        <w:rPr/>
      </w:pPr>
      <w:r>
        <w:rPr/>
        <w:t xml:space="preserve">v souvislosti s prováděním díla nesmí dojít k úplnému uzavření silnice II/360. Po celou dobu stavby musí být práce prováděny tak, aby byl provoz na silnici II/360 co nejméně dotčen. </w:t>
      </w:r>
    </w:p>
    <w:p>
      <w:pPr>
        <w:pStyle w:val="Normal"/>
        <w:numPr>
          <w:ilvl w:val="0"/>
          <w:numId w:val="18"/>
        </w:numPr>
        <w:tabs>
          <w:tab w:val="clear" w:pos="709"/>
          <w:tab w:val="left" w:pos="426" w:leader="none"/>
          <w:tab w:val="left" w:pos="851" w:leader="none"/>
          <w:tab w:val="left" w:pos="1134" w:leader="none"/>
        </w:tabs>
        <w:spacing w:before="80" w:after="0"/>
        <w:jc w:val="both"/>
        <w:rPr/>
      </w:pPr>
      <w:r>
        <w:rPr/>
        <w:t xml:space="preserve">Zhotovitel si sám na vlastní náklady zajistí uzavření nájemní smlouvy na využití silnice II/360 pro potřeby realizace se správcem silnice II/360 (Krajská správa a údržba silnic) a uhradí příslušné nájemné.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být dodržena příslušná ustanovení zákona o zadávání veřejných zakázek v platném znění.  Za méněpráce se považují práce v předmětu díla obsažené, avšak neuskutečněné.</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Dopady změn uvedených v čl. 1, odst. 7 a 8 této smlouvy majících vliv na zvýšení sjednané ceny díla, případně termín plnění, budou smluvními stranami upraveny dodatkem ke smlouvě o dílo, přičemž:</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se zhotovitel současně zavazuje, že termín dokončení díla bude dodržen i v případě zvýšení rozsahu díla, které svým rozsahem nepřesáhne 10 %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méněpracemi.</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zhotoviteli změnou rozsahu díla nevzniká nárok na náhradu škody při dodržení ustanovení čl. 1, odst. 8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Dopady změn majících vliv na snížení ceny díla budou smluvními stranami upraveny buď formou dodatku k této smlouvě nebo po dohodě smluvních stran nevyfakturováním neprovedených položek či jejich částí, přičemž:</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zhotoviteli snížením rozsahu díla nevzniká nárok na náhradu škody při dodržení ustanovení čl. 1, odst. 8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397" w:hanging="397"/>
        <w:jc w:val="both"/>
        <w:rPr/>
      </w:pPr>
      <w:r>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Zhotovitel podpisem této smlouvy bere na vědomí, že odsouhlasování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  </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2</w:t>
      </w:r>
    </w:p>
    <w:p>
      <w:pPr>
        <w:pStyle w:val="Normal"/>
        <w:tabs>
          <w:tab w:val="clear" w:pos="709"/>
          <w:tab w:val="left" w:pos="426" w:leader="none"/>
          <w:tab w:val="left" w:pos="851" w:leader="none"/>
          <w:tab w:val="left" w:pos="1134" w:leader="none"/>
        </w:tabs>
        <w:jc w:val="center"/>
        <w:rPr>
          <w:b/>
          <w:b/>
        </w:rPr>
      </w:pPr>
      <w:r>
        <w:rPr>
          <w:rFonts w:cs="Arial"/>
          <w:b/>
        </w:rPr>
        <w:t>Doba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jc w:val="both"/>
        <w:rPr/>
      </w:pPr>
      <w:r>
        <w:rPr>
          <w:rFonts w:cs="Arial"/>
        </w:rPr>
        <w:t xml:space="preserve">Zhotovitel zahájí realizaci díla </w:t>
      </w:r>
      <w:r>
        <w:rPr>
          <w:rFonts w:cs="Arial"/>
          <w:highlight w:val="yellow"/>
        </w:rPr>
        <w:t>dne ……………</w:t>
      </w:r>
      <w:r>
        <w:rPr>
          <w:rFonts w:cs="Arial"/>
        </w:rPr>
        <w:t xml:space="preserve">. Zhotovitel se zavazuje, že </w:t>
      </w:r>
      <w:r>
        <w:rPr>
          <w:rFonts w:cs="Arial"/>
          <w:b/>
        </w:rPr>
        <w:t>dílo dokončí a objednateli předá nejpozději dne</w:t>
      </w:r>
      <w:r>
        <w:rPr>
          <w:rFonts w:cs="Arial"/>
        </w:rPr>
        <w:t xml:space="preserve"> </w:t>
      </w:r>
      <w:r>
        <w:rPr>
          <w:rFonts w:cs="Arial"/>
          <w:b/>
          <w:highlight w:val="yellow"/>
        </w:rPr>
        <w:t>…………………</w:t>
      </w:r>
      <w:r>
        <w:rPr>
          <w:rFonts w:cs="Arial"/>
          <w:b/>
        </w:rPr>
        <w:t>.</w:t>
      </w:r>
      <w:r>
        <w:rPr>
          <w:rFonts w:cs="Arial"/>
        </w:rPr>
        <w:t>.</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3"/>
        </w:numPr>
        <w:tabs>
          <w:tab w:val="clear" w:pos="709"/>
          <w:tab w:val="left" w:pos="426" w:leader="none"/>
        </w:tabs>
        <w:ind w:start="426" w:hanging="426"/>
        <w:rPr/>
      </w:pPr>
      <w:r>
        <w:rPr/>
        <w:t>Staveniště bude zhotoviteli předáno v den zahájení realizace díla, pokud nebude dohodnuto jinak.</w:t>
      </w:r>
    </w:p>
    <w:p>
      <w:pPr>
        <w:pStyle w:val="Normal"/>
        <w:rPr/>
      </w:pPr>
      <w:r>
        <w:rPr/>
      </w:r>
    </w:p>
    <w:p>
      <w:pPr>
        <w:pStyle w:val="Normal"/>
        <w:numPr>
          <w:ilvl w:val="0"/>
          <w:numId w:val="23"/>
        </w:numPr>
        <w:tabs>
          <w:tab w:val="clear" w:pos="709"/>
          <w:tab w:val="left" w:pos="426" w:leader="none"/>
        </w:tabs>
        <w:ind w:start="426" w:hanging="426"/>
        <w:jc w:val="both"/>
        <w:rPr/>
      </w:pPr>
      <w:r>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pPr>
        <w:pStyle w:val="Normal"/>
        <w:tabs>
          <w:tab w:val="clear" w:pos="709"/>
          <w:tab w:val="left" w:pos="426" w:leader="none"/>
          <w:tab w:val="left" w:pos="851" w:leader="none"/>
          <w:tab w:val="left" w:pos="1134" w:leader="none"/>
        </w:tabs>
        <w:ind w:start="426" w:hanging="0"/>
        <w:jc w:val="both"/>
        <w:rPr/>
      </w:pPr>
      <w:r>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24"/>
        </w:numPr>
        <w:tabs>
          <w:tab w:val="clear" w:pos="709"/>
          <w:tab w:val="left" w:pos="426" w:leader="none"/>
        </w:tabs>
        <w:ind w:start="426" w:hanging="426"/>
        <w:jc w:val="both"/>
        <w:rPr/>
      </w:pPr>
      <w:r>
        <w:rPr>
          <w:rFonts w:cs="Arial"/>
        </w:rPr>
        <w:t>Časový průběh výstavby je dán orientačním harmonogramem postupu prací, který je přílohou a nedílnou součástí této smlouvy o dílo.</w:t>
      </w:r>
    </w:p>
    <w:p>
      <w:pPr>
        <w:pStyle w:val="Normal"/>
        <w:tabs>
          <w:tab w:val="clear" w:pos="709"/>
          <w:tab w:val="left" w:pos="426" w:leader="none"/>
          <w:tab w:val="left" w:pos="1134" w:leader="none"/>
        </w:tabs>
        <w:jc w:val="both"/>
        <w:rPr/>
      </w:pPr>
      <w:r>
        <w:rPr/>
      </w:r>
    </w:p>
    <w:p>
      <w:pPr>
        <w:pStyle w:val="Normal"/>
        <w:numPr>
          <w:ilvl w:val="0"/>
          <w:numId w:val="24"/>
        </w:numPr>
        <w:tabs>
          <w:tab w:val="clear" w:pos="709"/>
          <w:tab w:val="left" w:pos="426" w:leader="none"/>
        </w:tabs>
        <w:ind w:start="426" w:hanging="426"/>
        <w:jc w:val="both"/>
        <w:rPr/>
      </w:pPr>
      <w:r>
        <w:rPr>
          <w:rFonts w:cs="Arial"/>
        </w:rPr>
        <w:t>Případné zastavení stavby objednatelem z důvodu nesprávného provádění prací, porušování bezpečnostních předpisů, neplnění povinností ze strany zhotovitele, apod. nezakládá právo zhotovitele na prodloužení termínu dokončení díla (či jeho ucelených částí).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3</w:t>
      </w:r>
    </w:p>
    <w:p>
      <w:pPr>
        <w:pStyle w:val="Normal"/>
        <w:tabs>
          <w:tab w:val="clear" w:pos="709"/>
          <w:tab w:val="left" w:pos="426" w:leader="none"/>
          <w:tab w:val="left" w:pos="851" w:leader="none"/>
          <w:tab w:val="left" w:pos="1134" w:leader="none"/>
        </w:tabs>
        <w:jc w:val="center"/>
        <w:rPr>
          <w:b/>
          <w:b/>
        </w:rPr>
      </w:pPr>
      <w:r>
        <w:rPr>
          <w:rFonts w:cs="Arial"/>
          <w:b/>
        </w:rPr>
        <w:t>Místo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lang w:val="en-US"/>
        </w:rPr>
      </w:pPr>
      <w:r>
        <w:rPr>
          <w:rFonts w:cs="Arial"/>
        </w:rPr>
        <w:t>Místem plnění a předání díla je kat. území Pohledec – prostor stavby dle specifikace v projektové dokumentaci.</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4</w:t>
      </w:r>
    </w:p>
    <w:p>
      <w:pPr>
        <w:pStyle w:val="Normal"/>
        <w:tabs>
          <w:tab w:val="clear" w:pos="709"/>
          <w:tab w:val="left" w:pos="426" w:leader="none"/>
          <w:tab w:val="left" w:pos="851" w:leader="none"/>
          <w:tab w:val="left" w:pos="1134" w:leader="none"/>
        </w:tabs>
        <w:jc w:val="center"/>
        <w:rPr/>
      </w:pPr>
      <w:r>
        <w:rPr>
          <w:rFonts w:cs="Arial"/>
          <w:b/>
        </w:rPr>
        <w:t>Cena díla</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 xml:space="preserve">Objednatel se zavazuje, že za provedení díla podle čl. 1 této smlouvy uhradí zhotoviteli smluvní cenu ve výši </w:t>
      </w:r>
      <w:r>
        <w:rPr>
          <w:rFonts w:cs="Arial"/>
          <w:b/>
          <w:highlight w:val="yellow"/>
        </w:rPr>
        <w:t>………………………………</w:t>
      </w:r>
      <w:r>
        <w:rPr>
          <w:rFonts w:cs="Arial"/>
          <w:b/>
        </w:rPr>
        <w:t xml:space="preserve">. Kč </w:t>
      </w:r>
      <w:commentRangeStart w:id="2"/>
      <w:r>
        <w:rPr>
          <w:rFonts w:cs="Arial"/>
          <w:b/>
        </w:rPr>
        <w:t>bez DPH</w:t>
      </w:r>
      <w:r>
        <w:rPr>
          <w:rFonts w:cs="Arial"/>
          <w:b/>
        </w:rPr>
      </w:r>
      <w:commentRangeEnd w:id="2"/>
      <w:r>
        <w:commentReference w:id="2"/>
      </w:r>
      <w:r>
        <w:rPr>
          <w:rFonts w:cs="Arial"/>
        </w:rPr>
        <w:t xml:space="preserve">, </w:t>
      </w:r>
    </w:p>
    <w:p>
      <w:pPr>
        <w:pStyle w:val="Normal"/>
        <w:tabs>
          <w:tab w:val="clear" w:pos="709"/>
          <w:tab w:val="left" w:pos="426" w:leader="none"/>
          <w:tab w:val="left" w:pos="851" w:leader="none"/>
          <w:tab w:val="left" w:pos="1134" w:leader="none"/>
        </w:tabs>
        <w:ind w:start="426" w:hanging="0"/>
        <w:jc w:val="both"/>
        <w:rPr/>
      </w:pPr>
      <w:r>
        <w:rPr>
          <w:rFonts w:cs="Arial"/>
        </w:rPr>
        <w:t>(dále jen „cena“).</w:t>
      </w:r>
    </w:p>
    <w:p>
      <w:pPr>
        <w:pStyle w:val="Normal"/>
        <w:tabs>
          <w:tab w:val="clear" w:pos="709"/>
          <w:tab w:val="left" w:pos="426" w:leader="none"/>
          <w:tab w:val="left" w:pos="851" w:leader="none"/>
          <w:tab w:val="left" w:pos="1134" w:leader="none"/>
        </w:tabs>
        <w:ind w:start="426" w:hanging="0"/>
        <w:jc w:val="both"/>
        <w:rPr/>
      </w:pPr>
      <w:r>
        <w:rPr>
          <w:rFonts w:cs="Arial"/>
          <w:highlight w:val="yellow"/>
        </w:rPr>
        <w:t>K této ceně bude připočteno DPH ve výši dle platných předpisů. / Zhotovitel není plátcem DPH</w:t>
      </w:r>
      <w:r>
        <w:rPr>
          <w:rFonts w:cs="Arial"/>
        </w:rPr>
        <w:t xml:space="preserve">. </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Objednatel prohlašuje, že fakturovaná práce není používána k ekonomické činnosti a ve smyslu informace GFŘ a MFČR ze dne 9. 11. 2011 nebude pro tuto zakázku aplikován režim přenesené daňové povinnosti podle § 92a zákona č. 235/2004 Sb., o DPH, ve znění pozdějších změn a doplňků.</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rFonts w:cs="Arial"/>
        </w:rPr>
      </w:pPr>
      <w:r>
        <w:rPr>
          <w:rFonts w:cs="Arial"/>
        </w:rPr>
        <w:t>Cena v sobě zahrnuje veškeré dodávky, práce a výkony nutné k realizaci celého kompletního díla, specifikovaného touto smlouvou.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Cena může být změněna pouze v těchto případech:</w:t>
      </w:r>
    </w:p>
    <w:p>
      <w:pPr>
        <w:pStyle w:val="Normal"/>
        <w:numPr>
          <w:ilvl w:val="1"/>
          <w:numId w:val="11"/>
        </w:numPr>
        <w:tabs>
          <w:tab w:val="clear" w:pos="709"/>
          <w:tab w:val="left" w:pos="426" w:leader="none"/>
          <w:tab w:val="left" w:pos="851" w:leader="none"/>
          <w:tab w:val="left" w:pos="1134" w:leader="none"/>
        </w:tabs>
        <w:jc w:val="both"/>
        <w:rPr/>
      </w:pPr>
      <w:r>
        <w:rPr>
          <w:rFonts w:cs="Arial"/>
        </w:rPr>
        <w:t>dojde-li ke snížení rozsahu předmětu plnění oproti rozsahu stanovenému touto smlouvou o dílo (méněpracem)</w:t>
      </w:r>
    </w:p>
    <w:p>
      <w:pPr>
        <w:pStyle w:val="Normal"/>
        <w:numPr>
          <w:ilvl w:val="1"/>
          <w:numId w:val="11"/>
        </w:numPr>
        <w:tabs>
          <w:tab w:val="clear" w:pos="709"/>
          <w:tab w:val="left" w:pos="426" w:leader="none"/>
          <w:tab w:val="left" w:pos="851" w:leader="none"/>
          <w:tab w:val="left" w:pos="1134" w:leader="none"/>
        </w:tabs>
        <w:jc w:val="both"/>
        <w:rPr/>
      </w:pPr>
      <w:r>
        <w:rPr>
          <w:rFonts w:cs="Arial"/>
        </w:rPr>
        <w:t>dojde-li ke zvýšení rozsahu předmětu plnění oproti rozsahu stanovenému touto smlouvou o dílo (vícepracem)</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tab/>
        <w:t>přičemž k této situaci může dojít mimo jiné když:</w:t>
      </w:r>
    </w:p>
    <w:p>
      <w:pPr>
        <w:pStyle w:val="Normal"/>
        <w:numPr>
          <w:ilvl w:val="0"/>
          <w:numId w:val="29"/>
        </w:numPr>
        <w:tabs>
          <w:tab w:val="clear" w:pos="709"/>
          <w:tab w:val="left" w:pos="426" w:leader="none"/>
          <w:tab w:val="left" w:pos="851" w:leader="none"/>
          <w:tab w:val="left" w:pos="1134" w:leader="none"/>
          <w:tab w:val="left" w:pos="1418" w:leader="none"/>
        </w:tabs>
        <w:ind w:start="1418" w:hanging="284"/>
        <w:jc w:val="both"/>
        <w:rPr>
          <w:rFonts w:cs="Arial"/>
        </w:rPr>
      </w:pPr>
      <w:r>
        <w:rPr>
          <w:rFonts w:cs="Arial"/>
        </w:rPr>
        <w:t>objednatel požaduje provést práce, které nejsou v předmětu díla;</w:t>
      </w:r>
    </w:p>
    <w:p>
      <w:pPr>
        <w:pStyle w:val="Normal"/>
        <w:numPr>
          <w:ilvl w:val="0"/>
          <w:numId w:val="29"/>
        </w:numPr>
        <w:tabs>
          <w:tab w:val="clear" w:pos="709"/>
          <w:tab w:val="left" w:pos="426" w:leader="none"/>
          <w:tab w:val="left" w:pos="851" w:leader="none"/>
          <w:tab w:val="left" w:pos="1134" w:leader="none"/>
          <w:tab w:val="left" w:pos="1418" w:leader="none"/>
        </w:tabs>
        <w:ind w:start="1418" w:hanging="284"/>
        <w:jc w:val="both"/>
        <w:rPr/>
      </w:pPr>
      <w:r>
        <w:rPr>
          <w:rFonts w:cs="Arial"/>
        </w:rPr>
        <w:t>objednatel požaduje vypustit některé práce, které jsou předmětem díla;</w:t>
      </w:r>
    </w:p>
    <w:p>
      <w:pPr>
        <w:pStyle w:val="Normal"/>
        <w:numPr>
          <w:ilvl w:val="0"/>
          <w:numId w:val="29"/>
        </w:numPr>
        <w:tabs>
          <w:tab w:val="clear" w:pos="709"/>
          <w:tab w:val="left" w:pos="426" w:leader="none"/>
          <w:tab w:val="left" w:pos="851" w:leader="none"/>
          <w:tab w:val="left" w:pos="1134" w:leader="none"/>
          <w:tab w:val="left" w:pos="1418" w:leader="none"/>
        </w:tabs>
        <w:ind w:start="1418" w:hanging="284"/>
        <w:jc w:val="both"/>
        <w:rPr/>
      </w:pPr>
      <w:r>
        <w:rPr>
          <w:rFonts w:cs="Arial"/>
        </w:rPr>
        <w:t>při realizaci předmětu díla se zjistí skutečnosti, které nebyly v době podpisu této smlouvy známy a zhotovitel je nezavinil ani nemohl předvídat a mají vliv na cenu díla;</w:t>
      </w:r>
    </w:p>
    <w:p>
      <w:pPr>
        <w:pStyle w:val="Normal"/>
        <w:numPr>
          <w:ilvl w:val="0"/>
          <w:numId w:val="29"/>
        </w:numPr>
        <w:tabs>
          <w:tab w:val="clear" w:pos="709"/>
          <w:tab w:val="left" w:pos="426" w:leader="none"/>
          <w:tab w:val="left" w:pos="851" w:leader="none"/>
          <w:tab w:val="left" w:pos="1134" w:leader="none"/>
          <w:tab w:val="left" w:pos="1418" w:leader="none"/>
        </w:tabs>
        <w:ind w:start="1418" w:hanging="284"/>
        <w:jc w:val="both"/>
        <w:rPr/>
      </w:pPr>
      <w:r>
        <w:rPr>
          <w:rFonts w:cs="Arial"/>
        </w:rPr>
        <w:t xml:space="preserve">při realizaci předmětu díla se zjistí skutečnosti odlišné od dokumentace předané objednatelem (např. neodpovídají geologické údaje, apod.).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Při změnách – méněpracích bude změna ceny určena tak, že se zruší příslušná část ceny z položkového rozpočtu, který tvoří přílohu č. 1 této smlouvy.</w:t>
      </w:r>
    </w:p>
    <w:p>
      <w:pPr>
        <w:pStyle w:val="Normal"/>
        <w:tabs>
          <w:tab w:val="clear" w:pos="709"/>
          <w:tab w:val="left" w:pos="426" w:leader="none"/>
          <w:tab w:val="left" w:pos="851" w:leader="none"/>
          <w:tab w:val="left" w:pos="1134" w:leader="none"/>
        </w:tabs>
        <w:jc w:val="both"/>
        <w:rPr/>
      </w:pPr>
      <w:r>
        <w:rPr>
          <w:rFonts w:eastAsia="Arial" w:cs="Arial"/>
        </w:rPr>
        <w:t xml:space="preserve">  </w:t>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 xml:space="preserve">použitím jednotkových cen uvedených v nabídkovém položkovém rozpočtu zhotovitele, který tvoří přílohu č. 1 této smlouvy; </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pokud nelze použít žádný způsob uvedený pod písm. a) nebo b), pak hodinovou sazbou ve výši 325,-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Pro ceny materiálu a strojů platí stejné podmínky;</w:t>
      </w:r>
    </w:p>
    <w:p>
      <w:pPr>
        <w:pStyle w:val="Normal"/>
        <w:tabs>
          <w:tab w:val="clear" w:pos="709"/>
          <w:tab w:val="left" w:pos="426" w:leader="none"/>
          <w:tab w:val="left" w:pos="851" w:leader="none"/>
          <w:tab w:val="left" w:pos="1134" w:leader="none"/>
        </w:tabs>
        <w:spacing w:before="80" w:after="0"/>
        <w:ind w:start="426" w:hanging="0"/>
        <w:jc w:val="both"/>
        <w:rPr/>
      </w:pPr>
      <w:r>
        <w:rPr>
          <w:rFonts w:cs="Arial"/>
        </w:rPr>
        <w:t>nebo budou nižší.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Pro sjednání drobných změn předmětu díla, víceprací nebo méněprací,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pPr>
        <w:pStyle w:val="Normal"/>
        <w:tabs>
          <w:tab w:val="clear" w:pos="709"/>
          <w:tab w:val="left" w:pos="426" w:leader="none"/>
          <w:tab w:val="left" w:pos="851" w:leader="none"/>
          <w:tab w:val="left" w:pos="1134" w:leader="none"/>
        </w:tabs>
        <w:jc w:val="both"/>
        <w:rPr/>
      </w:pPr>
      <w:r>
        <w:rPr/>
      </w:r>
    </w:p>
    <w:p>
      <w:pPr>
        <w:pStyle w:val="Normal"/>
        <w:numPr>
          <w:ilvl w:val="0"/>
          <w:numId w:val="11"/>
        </w:numPr>
        <w:tabs>
          <w:tab w:val="clear" w:pos="709"/>
          <w:tab w:val="left" w:pos="426" w:leader="none"/>
          <w:tab w:val="left" w:pos="851" w:leader="none"/>
          <w:tab w:val="left" w:pos="1134" w:leader="none"/>
        </w:tabs>
        <w:ind w:start="426" w:hanging="426"/>
        <w:jc w:val="both"/>
        <w:rPr/>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pPr>
        <w:pStyle w:val="Odstavecseseznamem1"/>
        <w:tabs>
          <w:tab w:val="clear" w:pos="709"/>
          <w:tab w:val="left" w:pos="1100" w:leader="none"/>
        </w:tabs>
        <w:ind w:start="400" w:hanging="400"/>
        <w:rPr>
          <w:rFonts w:cs="Arial"/>
        </w:rPr>
      </w:pPr>
      <w:r>
        <w:rPr>
          <w:rFonts w:cs="Arial"/>
        </w:rPr>
      </w:r>
    </w:p>
    <w:p>
      <w:pPr>
        <w:pStyle w:val="Odstavecseseznamem1"/>
        <w:tabs>
          <w:tab w:val="clear" w:pos="709"/>
          <w:tab w:val="left" w:pos="1100" w:leader="none"/>
        </w:tabs>
        <w:ind w:star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5</w:t>
      </w:r>
    </w:p>
    <w:p>
      <w:pPr>
        <w:pStyle w:val="Normal"/>
        <w:tabs>
          <w:tab w:val="clear" w:pos="709"/>
          <w:tab w:val="left" w:pos="426" w:leader="none"/>
          <w:tab w:val="left" w:pos="851" w:leader="none"/>
          <w:tab w:val="left" w:pos="1134" w:leader="none"/>
        </w:tabs>
        <w:jc w:val="center"/>
        <w:rPr/>
      </w:pPr>
      <w:r>
        <w:rPr>
          <w:rFonts w:cs="Arial"/>
          <w:b/>
        </w:rPr>
        <w:t>Platební podmínky</w:t>
      </w:r>
    </w:p>
    <w:p>
      <w:pPr>
        <w:pStyle w:val="Normal"/>
        <w:tabs>
          <w:tab w:val="clear" w:pos="709"/>
          <w:tab w:val="left" w:pos="426" w:leader="none"/>
          <w:tab w:val="left" w:pos="851" w:leader="none"/>
          <w:tab w:val="left" w:pos="1134" w:leader="none"/>
        </w:tabs>
        <w:ind w:start="426" w:hanging="426"/>
        <w:jc w:val="both"/>
        <w:rPr>
          <w:rFonts w:cs="Arial"/>
          <w:b/>
          <w:b/>
          <w:color w:val="0000FF"/>
        </w:rPr>
      </w:pPr>
      <w:r>
        <w:rPr>
          <w:rFonts w:cs="Arial"/>
          <w:b/>
          <w:color w:val="0000FF"/>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pPr>
      <w:r>
        <w:rPr>
          <w:rFonts w:cs="Arial"/>
        </w:rPr>
        <w:t>Zhotovitel je povinen vystavit měsíčně, dle skutečně provedených a objednatelem odsouhlasených prací, fakturu – daňový doklad, přičemž datem zdanitelného plnění je poslední den příslušného měsíce. Faktury musí m.j. obsahovat náležitosti obchodní listiny dle ustanovení § 435 občanského zákoníku a v případě fakturace plátcem DPH i náležitosti daňového dokladu dle ustanovení § 29 a násl. zákona č. 235/2004 Sb., o dani z přidané hodnoty, ve znění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pPr>
        <w:pStyle w:val="Normal"/>
        <w:tabs>
          <w:tab w:val="clear" w:pos="709"/>
          <w:tab w:val="left" w:pos="426" w:leader="none"/>
          <w:tab w:val="left" w:pos="851" w:leader="none"/>
          <w:tab w:val="left" w:pos="1100" w:leader="none"/>
          <w:tab w:val="left" w:pos="1134" w:leader="none"/>
        </w:tabs>
        <w:ind w:start="400" w:hanging="400"/>
        <w:jc w:val="both"/>
        <w:rPr>
          <w:rFonts w:cs="Arial"/>
        </w:rPr>
      </w:pPr>
      <w:r>
        <w:rPr>
          <w:rFonts w:cs="Arial"/>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předložení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pPr>
        <w:pStyle w:val="Normal"/>
        <w:tabs>
          <w:tab w:val="clear" w:pos="709"/>
          <w:tab w:val="left" w:pos="426" w:leader="none"/>
          <w:tab w:val="left" w:pos="851" w:leader="none"/>
          <w:tab w:val="left" w:pos="1100" w:leader="none"/>
          <w:tab w:val="left" w:pos="1134" w:leader="none"/>
        </w:tabs>
        <w:ind w:start="400" w:hanging="400"/>
        <w:jc w:val="both"/>
        <w:rPr>
          <w:rFonts w:cs="Arial"/>
          <w:highlight w:val="cyan"/>
        </w:rPr>
      </w:pPr>
      <w:r>
        <w:rPr>
          <w:rFonts w:cs="Arial"/>
          <w:highlight w:val="cyan"/>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pPr>
        <w:pStyle w:val="Normal"/>
        <w:tabs>
          <w:tab w:val="clear" w:pos="709"/>
          <w:tab w:val="left" w:pos="426" w:leader="none"/>
          <w:tab w:val="left" w:pos="851" w:leader="none"/>
          <w:tab w:val="left" w:pos="1100" w:leader="none"/>
          <w:tab w:val="left" w:pos="1134" w:leader="none"/>
        </w:tabs>
        <w:ind w:start="400" w:hanging="400"/>
        <w:jc w:val="both"/>
        <w:rPr>
          <w:rFonts w:cs="Arial"/>
          <w:highlight w:val="cyan"/>
        </w:rPr>
      </w:pPr>
      <w:r>
        <w:rPr>
          <w:rFonts w:cs="Arial"/>
          <w:highlight w:val="cyan"/>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pPr>
      <w:r>
        <w:rPr>
          <w:rFonts w:cs="Arial"/>
        </w:rPr>
        <w:t>Objednatel neposkytne zhotoviteli zálohu.</w:t>
      </w:r>
    </w:p>
    <w:p>
      <w:pPr>
        <w:pStyle w:val="Normal"/>
        <w:tabs>
          <w:tab w:val="clear" w:pos="709"/>
          <w:tab w:val="left" w:pos="426" w:leader="none"/>
          <w:tab w:val="left" w:pos="851" w:leader="none"/>
          <w:tab w:val="left" w:pos="1100" w:leader="none"/>
          <w:tab w:val="left" w:pos="1134" w:leader="none"/>
        </w:tabs>
        <w:ind w:start="400" w:hanging="400"/>
        <w:jc w:val="both"/>
        <w:rPr>
          <w:rFonts w:cs="Arial"/>
          <w:highlight w:val="cyan"/>
        </w:rPr>
      </w:pPr>
      <w:r>
        <w:rPr>
          <w:rFonts w:cs="Arial"/>
          <w:highlight w:val="cyan"/>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pPr>
      <w:r>
        <w:rPr>
          <w:rFonts w:cs="Arial"/>
        </w:rPr>
        <w:t>Platby poukáže objednatel bezhotovostně na účet zhotovitele na základě faktur, oprávněně vystavených zhotovitelem.</w:t>
      </w:r>
    </w:p>
    <w:p>
      <w:pPr>
        <w:pStyle w:val="Normal"/>
        <w:tabs>
          <w:tab w:val="clear" w:pos="709"/>
          <w:tab w:val="left" w:pos="426" w:leader="none"/>
          <w:tab w:val="left" w:pos="851" w:leader="none"/>
          <w:tab w:val="left" w:pos="1100" w:leader="none"/>
          <w:tab w:val="left" w:pos="1134" w:leader="none"/>
        </w:tabs>
        <w:ind w:start="400" w:hanging="400"/>
        <w:jc w:val="both"/>
        <w:rPr>
          <w:rFonts w:cs="Arial"/>
          <w:highlight w:val="cyan"/>
        </w:rPr>
      </w:pPr>
      <w:r>
        <w:rPr>
          <w:rFonts w:cs="Arial"/>
          <w:highlight w:val="cyan"/>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pPr>
        <w:pStyle w:val="Normal"/>
        <w:tabs>
          <w:tab w:val="clear" w:pos="709"/>
          <w:tab w:val="left" w:pos="426" w:leader="none"/>
          <w:tab w:val="left" w:pos="851" w:leader="none"/>
          <w:tab w:val="left" w:pos="1100" w:leader="none"/>
          <w:tab w:val="left" w:pos="1134" w:leader="none"/>
        </w:tabs>
        <w:ind w:start="400" w:hanging="400"/>
        <w:jc w:val="both"/>
        <w:rPr>
          <w:rFonts w:cs="Arial"/>
          <w:highlight w:val="cyan"/>
        </w:rPr>
      </w:pPr>
      <w:r>
        <w:rPr>
          <w:rFonts w:cs="Arial"/>
          <w:highlight w:val="cyan"/>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uhradí fakturu zhotovitele nejpozději do 30 dnů po jejím prokazatelném obdržení. Objednatel není v prodlení, uhradí-li fakturu do 30 dnů po jejím obdržení, ale po termínu, který je na faktuře uveden jako den splatnosti. Zaplacením se pro účely této smlouvy rozumí připsání příslušné částky na účet zhotovitele. </w:t>
      </w:r>
    </w:p>
    <w:p>
      <w:pPr>
        <w:pStyle w:val="Odstavecseseznamem1"/>
        <w:tabs>
          <w:tab w:val="clear" w:pos="709"/>
          <w:tab w:val="left" w:pos="1100" w:leader="none"/>
        </w:tabs>
        <w:ind w:start="400" w:hanging="400"/>
        <w:rPr>
          <w:rFonts w:cs="Arial"/>
          <w:highlight w:val="cyan"/>
        </w:rPr>
      </w:pPr>
      <w:r>
        <w:rPr>
          <w:rFonts w:cs="Arial"/>
          <w:highlight w:val="cyan"/>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pPr>
      <w:r>
        <w:rPr>
          <w:rFonts w:cs="Arial"/>
        </w:rPr>
        <w:t>Zhotovitel je povinen objednateli předat faktury, protokoly a soupisy provedených prací rovněž elektronicky ve formátech xls a pdf (scan), případně v jiné formě požadované poskytovatelem dotace, pokud jej o to objednatel požádá.</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rFonts w:cs="Arial"/>
        </w:rPr>
      </w:pPr>
      <w:r>
        <w:rPr>
          <w:rFonts w:cs="Arial"/>
        </w:rPr>
        <w:t xml:space="preserve">Objednatel uhradí zhotoviteli předat faktury až do výše 90 </w:t>
      </w:r>
      <w:r>
        <w:rPr>
          <w:rFonts w:cs="Arial"/>
          <w:lang w:val="en-US"/>
        </w:rPr>
        <w:t>%</w:t>
      </w:r>
      <w:r>
        <w:rPr>
          <w:rFonts w:cs="Arial"/>
        </w:rPr>
        <w:t xml:space="preserve"> z celkové sjednané ceny díla. Zbývající část, tj. 10</w:t>
      </w:r>
      <w:r>
        <w:rPr>
          <w:rFonts w:cs="Arial"/>
          <w:lang w:val="en-US"/>
        </w:rPr>
        <w:t>%</w:t>
      </w:r>
      <w:r>
        <w:rPr>
          <w:rFonts w:cs="Arial"/>
        </w:rPr>
        <w:t xml:space="preserve"> ze sjednané celkové ceny díla uhradí objednatel zhotoviteli do 15 dnů po předání a převzetí díla za podmínky, že se na díle nevyskytnou žádné vady a nedodělky. V případě, že se na díle vyskytnou vady a nedodělky, uhradí objednatel zbývající část do 15 dnů po odstranění poslední z nich. </w:t>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rFonts w:cs="Arial"/>
        </w:rPr>
      </w:pPr>
      <w:r>
        <w:rPr>
          <w:rFonts w:cs="Arial"/>
        </w:rPr>
        <w:t xml:space="preserve"> </w:t>
      </w:r>
      <w:r>
        <w:rPr>
          <w:rFonts w:cs="Arial"/>
        </w:rPr>
        <w:t>Má-li objednatel splatnou pohledávku(y) vůči zhotoviteli včetně případné smluvní pokuty, je oprávněn provést její (jejich) jednostranný zápočet vůči kterékoliv platbě za plnění dle této smlouvy.</w:t>
      </w:r>
    </w:p>
    <w:p>
      <w:pPr>
        <w:pStyle w:val="Normal"/>
        <w:tabs>
          <w:tab w:val="clear" w:pos="709"/>
          <w:tab w:val="left" w:pos="426" w:leader="none"/>
          <w:tab w:val="left" w:pos="851" w:leader="none"/>
          <w:tab w:val="left" w:pos="1100" w:leader="none"/>
          <w:tab w:val="left" w:pos="1134" w:leader="none"/>
        </w:tabs>
        <w:ind w:start="400" w:hanging="0"/>
        <w:jc w:val="both"/>
        <w:rPr>
          <w:rFonts w:cs="Arial"/>
        </w:rPr>
      </w:pPr>
      <w:r>
        <w:rPr>
          <w:rFonts w:cs="Arial"/>
        </w:rPr>
      </w:r>
    </w:p>
    <w:p>
      <w:pPr>
        <w:pStyle w:val="Normal"/>
        <w:numPr>
          <w:ilvl w:val="0"/>
          <w:numId w:val="3"/>
        </w:numPr>
        <w:tabs>
          <w:tab w:val="clear" w:pos="709"/>
          <w:tab w:val="left" w:pos="426" w:leader="none"/>
          <w:tab w:val="left" w:pos="851" w:leader="none"/>
          <w:tab w:val="left" w:pos="1100" w:leader="none"/>
          <w:tab w:val="left" w:pos="1134" w:leader="none"/>
        </w:tabs>
        <w:ind w:start="400" w:hanging="400"/>
        <w:jc w:val="both"/>
        <w:rPr>
          <w:rFonts w:cs="Arial"/>
        </w:rPr>
      </w:pPr>
      <w:commentRangeStart w:id="3"/>
      <w:r>
        <w:rPr>
          <w:rFonts w:cs="Arial"/>
        </w:rPr>
        <w:t>Pokud k datu uskutečnění zdanitelného plnění budou u zhotovitele naplněny podmínky ustanovení § 106a zákona č. 235/2004 Sb., o dani s přidané hodnoty, ve znění pozdějších předpisů (dále jen „ZoDPH“) nebo bude objednatel úplatu směrovat na bankovní účet nezveřejněný ve smyslu ustanovení § 109 odst. 2 písm. c) ZoDPH, je objednatel oprávněn postupovat podle ustanovení § 109a ZoDPH,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pPr>
        <w:pStyle w:val="Normal"/>
        <w:tabs>
          <w:tab w:val="clear" w:pos="709"/>
          <w:tab w:val="left" w:pos="426" w:leader="none"/>
          <w:tab w:val="left" w:pos="851" w:leader="none"/>
          <w:tab w:val="left" w:pos="1100" w:leader="none"/>
          <w:tab w:val="left" w:pos="1134" w:leader="none"/>
        </w:tabs>
        <w:ind w:start="400" w:hanging="0"/>
        <w:jc w:val="both"/>
        <w:rPr>
          <w:rFonts w:cs="Arial"/>
        </w:rPr>
      </w:pPr>
      <w:r>
        <w:rPr>
          <w:rFonts w:cs="Arial"/>
        </w:rPr>
        <w:tab/>
        <w:t>Bude-li úplata související se zdanitelným plněním směrována zhotovitelem na jiný bankovní účet, než účet zveřejněný dle ZoDPH, může tato skutečnost rovněž ovlivnit lhůtu splatnosti finančního závazku. Případné sankce z těchto důvodů pak nepodléhají ujednáním o sankcích</w:t>
      </w:r>
      <w:r>
        <w:rPr>
          <w:rFonts w:cs="Arial"/>
        </w:rPr>
      </w:r>
      <w:commentRangeEnd w:id="3"/>
      <w:r>
        <w:commentReference w:id="3"/>
      </w:r>
      <w:r>
        <w:rPr>
          <w:rFonts w:cs="Arial"/>
        </w:rPr>
        <w:t>.</w:t>
      </w:r>
    </w:p>
    <w:p>
      <w:pPr>
        <w:pStyle w:val="Odstavecseseznamem1"/>
        <w:tabs>
          <w:tab w:val="clear" w:pos="709"/>
          <w:tab w:val="left" w:pos="1100" w:leader="none"/>
        </w:tabs>
        <w:ind w:start="400" w:hanging="400"/>
        <w:rPr>
          <w:rFonts w:cs="Arial"/>
        </w:rPr>
      </w:pPr>
      <w:r>
        <w:rPr>
          <w:rFonts w:cs="Arial"/>
        </w:rPr>
      </w:r>
    </w:p>
    <w:p>
      <w:pPr>
        <w:pStyle w:val="Odstavecseseznamem1"/>
        <w:tabs>
          <w:tab w:val="clear" w:pos="709"/>
          <w:tab w:val="left" w:pos="1100" w:leader="none"/>
        </w:tabs>
        <w:ind w:star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6</w:t>
      </w:r>
    </w:p>
    <w:p>
      <w:pPr>
        <w:pStyle w:val="Normal"/>
        <w:tabs>
          <w:tab w:val="clear" w:pos="709"/>
          <w:tab w:val="left" w:pos="426" w:leader="none"/>
          <w:tab w:val="left" w:pos="851" w:leader="none"/>
          <w:tab w:val="left" w:pos="1134" w:leader="none"/>
        </w:tabs>
        <w:jc w:val="center"/>
        <w:rPr/>
      </w:pPr>
      <w:r>
        <w:rPr>
          <w:rFonts w:cs="Arial"/>
          <w:b/>
        </w:rPr>
        <w:t>Součinnost objednatele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objektů, pozemků a vlastníků a provozovatelů dotčených inženýrských sítí) tak, aby zhotovitel mohl zahájit a pro</w:t>
        <w:softHyphen/>
        <w:t>vádět práce v rozsahu a za podmínek stanovených touto smlouvou.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Bezprostředně po podpisu této smlouvy předá objednatel zhotoviteli projektovou dokumentaci ve 2 vyhotoveních, vč. dokladů umožňujících realizaci díla – rozhodnutí o schválení stavebního záměru a vyjádření dotčených subjektů a účastníků příslušných řízení. Za správnost a úplnost předané dokumentace odpovídá objednatel.</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7</w:t>
      </w:r>
    </w:p>
    <w:p>
      <w:pPr>
        <w:pStyle w:val="Normal"/>
        <w:tabs>
          <w:tab w:val="clear" w:pos="709"/>
          <w:tab w:val="left" w:pos="426" w:leader="none"/>
          <w:tab w:val="left" w:pos="851" w:leader="none"/>
          <w:tab w:val="left" w:pos="1134" w:leader="none"/>
        </w:tabs>
        <w:jc w:val="center"/>
        <w:rPr/>
      </w:pPr>
      <w:r>
        <w:rPr>
          <w:rFonts w:cs="Arial"/>
          <w:b/>
        </w:rPr>
        <w:t>Záruční doba, odpovědnost za vady, podmínky reklamace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Délka záruční doby na dílo se vzájemnou dohodou a v souladu s ust. § 2629 a 2619 odst. 2 občanského zákoníku stanovuje v délce 60 měsíců, počínaje převzetím díla od zhotovitele, s výjimkou:</w:t>
      </w:r>
    </w:p>
    <w:p>
      <w:pPr>
        <w:pStyle w:val="Normal"/>
        <w:numPr>
          <w:ilvl w:val="0"/>
          <w:numId w:val="10"/>
        </w:numPr>
        <w:tabs>
          <w:tab w:val="clear" w:pos="709"/>
          <w:tab w:val="left" w:pos="426" w:leader="none"/>
          <w:tab w:val="left" w:pos="851" w:leader="none"/>
          <w:tab w:val="left" w:pos="1134" w:leader="none"/>
        </w:tabs>
        <w:jc w:val="both"/>
        <w:rPr/>
      </w:pPr>
      <w:r>
        <w:rPr>
          <w:rFonts w:cs="Arial"/>
        </w:rPr>
        <w:t>spotřebního materiálu (např. zářivkových trubic, žárovek, apod.), kde se stanovuje délka záruční doby na 24 měsíců, počínaje převzetím díla od zhotovitele.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Podmínky odpovědnosti za vady se řídí ustanovením § 2629 a násl. občanského zákoníku, pokud tato smlouva nestanoví jinak.</w:t>
      </w:r>
    </w:p>
    <w:p>
      <w:pPr>
        <w:pStyle w:val="Odstavecseseznamem1"/>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pPr>
        <w:pStyle w:val="Normal"/>
        <w:tabs>
          <w:tab w:val="clear" w:pos="709"/>
          <w:tab w:val="left" w:pos="426" w:leader="none"/>
          <w:tab w:val="left" w:pos="851" w:leader="none"/>
          <w:tab w:val="left" w:pos="1134" w:leader="none"/>
        </w:tabs>
        <w:ind w:start="426" w:hanging="0"/>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pPr>
        <w:pStyle w:val="Normal"/>
        <w:tabs>
          <w:tab w:val="clear" w:pos="709"/>
          <w:tab w:val="left" w:pos="426" w:leader="none"/>
          <w:tab w:val="left" w:pos="851" w:leader="none"/>
          <w:tab w:val="left" w:pos="1134" w:leader="none"/>
        </w:tabs>
        <w:ind w:start="426" w:hanging="0"/>
        <w:jc w:val="both"/>
        <w:rPr/>
      </w:pPr>
      <w:r>
        <w:rPr/>
      </w:r>
    </w:p>
    <w:p>
      <w:pPr>
        <w:pStyle w:val="Normal"/>
        <w:numPr>
          <w:ilvl w:val="0"/>
          <w:numId w:val="9"/>
        </w:numPr>
        <w:tabs>
          <w:tab w:val="clear" w:pos="709"/>
          <w:tab w:val="left" w:pos="426" w:leader="none"/>
          <w:tab w:val="left" w:pos="851" w:leader="none"/>
          <w:tab w:val="left" w:pos="1134" w:leader="none"/>
        </w:tabs>
        <w:ind w:start="426" w:hanging="426"/>
        <w:jc w:val="both"/>
        <w:rPr>
          <w:rFonts w:cs="Arial"/>
        </w:rPr>
      </w:pPr>
      <w:r>
        <w:rPr>
          <w:rFonts w:cs="Arial"/>
        </w:rPr>
        <w:t>Pokud o to objednatel požádá, je zhotovitel povinen před započetím odstraňování reklamované vady předložit objednateli k písemnému odsouhlasení technologický postup a rozsah opravy, soupis materiálů, které hodlá použít, apod. Pro případ, že zhotovitel provede odstranění reklamované vady bez předchozího písemného odsouhlasení objednatelem, je zhotovitel srozuměn s tím, že objednatel je oprávněn neuznat opravu jako správnou a dostačující.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díla byl narušen v míře co nejmenší.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Zhotovitel zaručuje, že dílo bude mít po celou záruční dobu vlastnosti podle projektové dokumentace v souladu s v současnosti s platnými právními předpisy a ČSN a bude bezpečně způsobilé ke smluvenému účelu dle podkladů uvedených čl. 1 této smlouvy.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8</w:t>
      </w:r>
    </w:p>
    <w:p>
      <w:pPr>
        <w:pStyle w:val="Normal"/>
        <w:tabs>
          <w:tab w:val="clear" w:pos="709"/>
          <w:tab w:val="left" w:pos="426" w:leader="none"/>
          <w:tab w:val="left" w:pos="851" w:leader="none"/>
          <w:tab w:val="left" w:pos="1134" w:leader="none"/>
        </w:tabs>
        <w:jc w:val="center"/>
        <w:rPr/>
      </w:pPr>
      <w:r>
        <w:rPr>
          <w:rFonts w:cs="Arial"/>
          <w:b/>
        </w:rPr>
        <w:t>Podmínky provedení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5"/>
        </w:numPr>
        <w:tabs>
          <w:tab w:val="clear" w:pos="709"/>
          <w:tab w:val="left" w:pos="426" w:leader="none"/>
        </w:tabs>
        <w:ind w:start="426" w:hanging="426"/>
        <w:jc w:val="both"/>
        <w:rPr/>
      </w:pPr>
      <w:r>
        <w:rPr/>
        <w:t xml:space="preserve">Zhotovitel provede práce podle platných předpisů a podmínek sjednaných touto smlouvou.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Za to, že dílo bude provedeno řádně, plně zodpovídá zhotovitel. Smluvní strany pro účel této smlouvy vylučují ustanovení § 2630, odst. 1, písm. c) občanského zákoníku.</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Objednatel si vyhrazuje právo odsouhlasení osoby stavbyvedoucího a zhotovitel jej nesmí bez písemného souhlasu objednatele měnit. </w:t>
      </w:r>
    </w:p>
    <w:p>
      <w:pPr>
        <w:pStyle w:val="Normal"/>
        <w:jc w:val="both"/>
        <w:rPr/>
      </w:pPr>
      <w:r>
        <w:rPr/>
      </w:r>
    </w:p>
    <w:p>
      <w:pPr>
        <w:pStyle w:val="Normal"/>
        <w:numPr>
          <w:ilvl w:val="0"/>
          <w:numId w:val="25"/>
        </w:numPr>
        <w:tabs>
          <w:tab w:val="clear" w:pos="709"/>
          <w:tab w:val="left" w:pos="426" w:leader="none"/>
        </w:tabs>
        <w:ind w:start="426" w:hanging="426"/>
        <w:jc w:val="both"/>
        <w:rPr/>
      </w:pPr>
      <w:r>
        <w:rPr/>
        <w:t xml:space="preserve">Zhotovitel smí změnit podzhotovitele či osobu, pomocí kterého/které prokazoval v zadávacím/výběrovém řízení splnění kvalifikace, pouze ve výjimečných případech a se souhlasem objednatele. Nový podzhotovitel či osoba musí splňovat kvalifikaci minimálně v rozsahu, v jakém byla původním podzhotovitelem či osobou prokázána v zadávacím/výběrovém řízení, což je zhotovitel povinen doložit.   </w:t>
      </w:r>
    </w:p>
    <w:p>
      <w:pPr>
        <w:pStyle w:val="Normal"/>
        <w:rPr/>
      </w:pPr>
      <w:r>
        <w:rPr/>
      </w:r>
    </w:p>
    <w:p>
      <w:pPr>
        <w:pStyle w:val="Normal"/>
        <w:numPr>
          <w:ilvl w:val="0"/>
          <w:numId w:val="25"/>
        </w:numPr>
        <w:tabs>
          <w:tab w:val="clear" w:pos="709"/>
          <w:tab w:val="left" w:pos="426" w:leader="none"/>
        </w:tabs>
        <w:ind w:start="426" w:hanging="426"/>
        <w:jc w:val="both"/>
        <w:rPr/>
      </w:pPr>
      <w:r>
        <w:rPr/>
        <w:t>Zařízení staveniště si zabezpečuje zhotovitel a cena za jeho zařízení, údržbu, ostrahu a následnou likvidaci vlastního zařízení staveniště po dokončení stavby je součástí ceny díla.</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odpovídá za eventuální škody, které způsobil činností svojí nebo svých podzhotovitelů po celou dobu realizace díla až do doby konečné přejímky a převzetí díla objednatelem.</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se zavazuje, že přebírá veškeré závazky a povinnosti, které pro něho vyplývají z jeho činnosti z právních předpisů platných na úseku životního prostředí zejm. ze zákona č. 541/2020 Sb., o odpadech a o změně některých dalších zákonů, ve znění pozdějších předpisů,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pPr>
        <w:pStyle w:val="ListParagraph"/>
        <w:rPr/>
      </w:pPr>
      <w:r>
        <w:rPr/>
      </w:r>
    </w:p>
    <w:p>
      <w:pPr>
        <w:pStyle w:val="Normal"/>
        <w:numPr>
          <w:ilvl w:val="0"/>
          <w:numId w:val="25"/>
        </w:numPr>
        <w:tabs>
          <w:tab w:val="clear" w:pos="709"/>
          <w:tab w:val="left" w:pos="426" w:leader="none"/>
        </w:tabs>
        <w:ind w:start="426" w:hanging="426"/>
        <w:jc w:val="both"/>
        <w:rPr/>
      </w:pPr>
      <w:r>
        <w:rPr/>
        <w:t>Zhotovitel je povinen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pPr>
        <w:pStyle w:val="Normal"/>
        <w:tabs>
          <w:tab w:val="clear" w:pos="709"/>
          <w:tab w:val="left" w:pos="426" w:leader="none"/>
        </w:tabs>
        <w:ind w:start="426" w:hanging="0"/>
        <w:jc w:val="both"/>
        <w:rPr/>
      </w:pPr>
      <w:r>
        <w:rPr/>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pPr>
        <w:pStyle w:val="Normal"/>
        <w:tabs>
          <w:tab w:val="clear" w:pos="709"/>
          <w:tab w:val="left" w:pos="426" w:leader="none"/>
        </w:tabs>
        <w:ind w:start="426" w:hanging="0"/>
        <w:jc w:val="both"/>
        <w:rPr/>
      </w:pPr>
      <w:r>
        <w:rPr/>
      </w:r>
    </w:p>
    <w:p>
      <w:pPr>
        <w:pStyle w:val="Normal"/>
        <w:numPr>
          <w:ilvl w:val="0"/>
          <w:numId w:val="25"/>
        </w:numPr>
        <w:tabs>
          <w:tab w:val="clear" w:pos="709"/>
          <w:tab w:val="left" w:pos="426" w:leader="none"/>
        </w:tabs>
        <w:ind w:start="426" w:hanging="426"/>
        <w:jc w:val="both"/>
        <w:rPr/>
      </w:pPr>
      <w:r>
        <w:rPr/>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proškolení, apod.</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Zhotovitel je povinen bez zbytečného odkladu na svůj náklad odstranit znečištění či poškození komunikací objednatele a veřejných komunikací, veřejných i soukromých prostor a objektů, které při realizaci díla způsobil.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V průběhu provádění díla je zhotovitel povinen do jednoho paré projektové dokumentace zaznamenávat změny, ke kterým došlo v průběhu zhotovení díla, a to nejpozději při jejich provedení. Tato projektová dokumentace bude trvale přístupná na stavbě.</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Dílčím předáním a převzetím díla nezaniká právo objednatele vytknout při konečném předání a převzetí díla jako celku zhotoviteli vady a nedodělky částí díla předaných a převzatých již dříve dílčími předávacími protokoly.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je povinen se na výzvu objednatele zúčastnit kolaudačního řízení a poskytnout při něm požadované informace o předmětu a způsobu provádění díla a je povinen k účasti na kolaudačním řízení a poskytnutí požadovaných informací zavázat i své podzhotovitele.</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Stavba bude prováděna v zastavěném a obydleném území města. Zhotovitel je povinen:</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tuto skutečnost respektovat a při provádění prací postupovat v tomto směru zvlášť ohleduplně a opatrně,</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 xml:space="preserve">prostor staveniště řádně zabezpečit tak, aby nedošlo ke zranění osob, </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práce realizovat tak, aby nedošlo k poškození stávajících objektů a majetku, případná škoda jde k tíži zhotovitele,</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dodržovat při provádění díla limity pro hlučnost podle hygienických předpisů,</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po celou dobu realizace stavby označit, zajistit a zabezpečit prostor staveniště tak, aby do prostoru staveniště nevnikly nepovolané osoby,</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 xml:space="preserve">průběžně informovat vlastníky, příp. uživatele sousedních nemovitostí o nutných omezeních, harmonogramu prací, apod.  </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objednatel si vyhrazuje právo odsouhlasit příp. dopravní omezení a řešení dopravy (pěší i automobilové) po dobu realizace stavby navržené zhotovitelem.</w:t>
      </w:r>
    </w:p>
    <w:p>
      <w:pPr>
        <w:pStyle w:val="Normal"/>
        <w:tabs>
          <w:tab w:val="clear" w:pos="709"/>
          <w:tab w:val="left" w:pos="426" w:leader="none"/>
          <w:tab w:val="left" w:pos="851" w:leader="none"/>
          <w:tab w:val="left" w:pos="1134" w:leader="none"/>
        </w:tabs>
        <w:spacing w:before="80" w:after="0"/>
        <w:ind w:start="426" w:hanging="0"/>
        <w:jc w:val="both"/>
        <w:rPr>
          <w:rFonts w:cs="Arial"/>
        </w:rPr>
      </w:pPr>
      <w:r>
        <w:rPr>
          <w:rFonts w:cs="Arial"/>
        </w:rPr>
      </w:r>
    </w:p>
    <w:p>
      <w:pPr>
        <w:pStyle w:val="Normal"/>
        <w:numPr>
          <w:ilvl w:val="0"/>
          <w:numId w:val="31"/>
        </w:numPr>
        <w:ind w:start="426" w:hanging="426"/>
        <w:jc w:val="both"/>
        <w:rPr/>
      </w:pPr>
      <w:r>
        <w:rPr/>
        <w:t>Zhotovitel je dle § 2e) zákona č. 320/2001 Sb., o finanční kontrole, osobou povinnou spolupůsobit při výkonu finanční kontroly.</w:t>
      </w:r>
    </w:p>
    <w:p>
      <w:pPr>
        <w:pStyle w:val="Normal"/>
        <w:rPr/>
      </w:pPr>
      <w:r>
        <w:rPr/>
      </w:r>
    </w:p>
    <w:p>
      <w:pPr>
        <w:pStyle w:val="Normal"/>
        <w:numPr>
          <w:ilvl w:val="0"/>
          <w:numId w:val="31"/>
        </w:numPr>
        <w:ind w:start="426" w:hanging="426"/>
        <w:jc w:val="both"/>
        <w:rPr/>
      </w:pPr>
      <w:r>
        <w:rPr/>
        <w:t>Zhotovitel je povinen poskytnout objednateli údaje vyžadované zákonem o veřejných zakázkách, v platném znění, a to ve lhůtách daných zákonem nebo do 6 pracovních dnů od jejich vyžádání objednatelem. Zhotovitel bere na vědomí a souhlasí se zveřejněním těchto údajů dle tohoto zákona.</w:t>
      </w:r>
    </w:p>
    <w:p>
      <w:pPr>
        <w:pStyle w:val="Normal"/>
        <w:rPr/>
      </w:pPr>
      <w:r>
        <w:rPr/>
      </w:r>
    </w:p>
    <w:p>
      <w:pPr>
        <w:pStyle w:val="Normal"/>
        <w:numPr>
          <w:ilvl w:val="0"/>
          <w:numId w:val="31"/>
        </w:numPr>
        <w:ind w:start="426" w:hanging="426"/>
        <w:jc w:val="both"/>
        <w:rPr/>
      </w:pPr>
      <w:r>
        <w:rPr/>
        <w:t>Zhotovitel je povinen poskytnout objednateli nabídkový rozpočet i veškeré případné rozpočty změn díla rovněž elektronicky ve formátech xls a pdf, případně v jiné formě požadované poskytovatelem finanční podpory.</w:t>
      </w:r>
    </w:p>
    <w:p>
      <w:pPr>
        <w:pStyle w:val="Normal"/>
        <w:rPr/>
      </w:pPr>
      <w:r>
        <w:rPr/>
      </w:r>
    </w:p>
    <w:p>
      <w:pPr>
        <w:pStyle w:val="Normal"/>
        <w:numPr>
          <w:ilvl w:val="0"/>
          <w:numId w:val="31"/>
        </w:numPr>
        <w:ind w:start="426" w:hanging="426"/>
        <w:jc w:val="both"/>
        <w:rPr/>
      </w:pPr>
      <w:r>
        <w:rPr/>
        <w:t>Zhotovitel je povinen poskytnout objednateli v požadované formě veškeré podklady a doklady, které na něm lze spravedlivě požadovat a které budou současně požadovány poskytovatelem finanční podpory.</w:t>
      </w:r>
    </w:p>
    <w:p>
      <w:pPr>
        <w:pStyle w:val="Normal"/>
        <w:tabs>
          <w:tab w:val="clear" w:pos="709"/>
          <w:tab w:val="left" w:pos="426" w:leader="none"/>
        </w:tabs>
        <w:ind w:start="426" w:hanging="426"/>
        <w:rPr/>
      </w:pPr>
      <w:r>
        <w:rPr/>
      </w:r>
    </w:p>
    <w:p>
      <w:pPr>
        <w:pStyle w:val="Normal"/>
        <w:numPr>
          <w:ilvl w:val="0"/>
          <w:numId w:val="31"/>
        </w:numPr>
        <w:ind w:start="426" w:hanging="426"/>
        <w:jc w:val="both"/>
        <w:rPr/>
      </w:pPr>
      <w:r>
        <w:rPr/>
        <w:t>Zhotovitel podpisem této smlouvy bere na vědomí, že na stavbě nebo staveništi či jejím bezprostředním okolí může v průběhu provádění stavby dojít k potřebě realizace dalších prací třetími osobami. Zhotovitel je v takovém případě povinen umožnit provedení těchto prací a je povinen tyto práce na své náklady řádně koordinovat.</w:t>
      </w:r>
    </w:p>
    <w:p>
      <w:pPr>
        <w:pStyle w:val="Normal"/>
        <w:tabs>
          <w:tab w:val="clear" w:pos="709"/>
          <w:tab w:val="left" w:pos="426" w:leader="none"/>
        </w:tabs>
        <w:ind w:start="426" w:hanging="426"/>
        <w:rPr/>
      </w:pPr>
      <w:r>
        <w:rPr/>
      </w:r>
    </w:p>
    <w:p>
      <w:pPr>
        <w:pStyle w:val="Normal"/>
        <w:numPr>
          <w:ilvl w:val="0"/>
          <w:numId w:val="31"/>
        </w:numPr>
        <w:ind w:start="426" w:hanging="426"/>
        <w:jc w:val="both"/>
        <w:rPr/>
      </w:pPr>
      <w:r>
        <w:rPr/>
        <w:t>Zhotovitel je povinen umožnit provádění případných víceprací třetí osobou a poskytnout jí v tom případě součinnost potřebnou pro řádné a včasné dokončení díla.</w:t>
      </w:r>
    </w:p>
    <w:p>
      <w:pPr>
        <w:pStyle w:val="ListParagraph"/>
        <w:rPr/>
      </w:pPr>
      <w:r>
        <w:rPr/>
      </w:r>
    </w:p>
    <w:p>
      <w:pPr>
        <w:pStyle w:val="Normal"/>
        <w:numPr>
          <w:ilvl w:val="0"/>
          <w:numId w:val="31"/>
        </w:numPr>
        <w:ind w:start="426" w:hanging="426"/>
        <w:jc w:val="both"/>
        <w:rPr/>
      </w:pPr>
      <w:r>
        <w:rPr/>
        <w:t>Objednatel nemá v prostoru staveniště k dispozici odběrná místa vody, el.energie, ani jiných médií. Pokud bude zhotovitel napojení na média potřebovat, zajistí si je vlastními silami a ve vlastní režii.</w:t>
      </w:r>
    </w:p>
    <w:p>
      <w:pPr>
        <w:pStyle w:val="Normal"/>
        <w:tabs>
          <w:tab w:val="clear" w:pos="709"/>
          <w:tab w:val="left" w:pos="426" w:leader="none"/>
        </w:tabs>
        <w:ind w:start="426" w:hanging="426"/>
        <w:rPr/>
      </w:pPr>
      <w:r>
        <w:rPr/>
      </w:r>
    </w:p>
    <w:p>
      <w:pPr>
        <w:pStyle w:val="Normal"/>
        <w:numPr>
          <w:ilvl w:val="0"/>
          <w:numId w:val="31"/>
        </w:numPr>
        <w:ind w:start="426" w:hanging="426"/>
        <w:jc w:val="both"/>
        <w:rPr/>
      </w:pPr>
      <w:r>
        <w:rPr/>
        <w:t>Zhotovitel si sám na vlastní náklady zajistí sociální zařízení pro potřeby provádění díla.</w:t>
      </w:r>
    </w:p>
    <w:p>
      <w:pPr>
        <w:pStyle w:val="Normal"/>
        <w:jc w:val="both"/>
        <w:rPr/>
      </w:pPr>
      <w:r>
        <w:rPr/>
      </w:r>
    </w:p>
    <w:p>
      <w:pPr>
        <w:pStyle w:val="Normal"/>
        <w:numPr>
          <w:ilvl w:val="0"/>
          <w:numId w:val="31"/>
        </w:numPr>
        <w:ind w:start="426" w:hanging="426"/>
        <w:jc w:val="both"/>
        <w:rPr/>
      </w:pPr>
      <w:r>
        <w:rPr/>
        <w:t xml:space="preserve">Objednatel je oprávněn si ponechat pro svoji potřebu některé z vybouraných prvků a materiálů, které nebudou odpadem (zejména materiál vzniklý frézováním asfaltových povrchů, stávající dlažby, apod.). </w:t>
      </w:r>
    </w:p>
    <w:p>
      <w:pPr>
        <w:pStyle w:val="Normal"/>
        <w:tabs>
          <w:tab w:val="clear" w:pos="709"/>
          <w:tab w:val="left" w:pos="426" w:leader="none"/>
        </w:tabs>
        <w:ind w:start="426" w:hanging="426"/>
        <w:rPr/>
      </w:pPr>
      <w:r>
        <w:rPr/>
      </w:r>
    </w:p>
    <w:p>
      <w:pPr>
        <w:pStyle w:val="Normal"/>
        <w:numPr>
          <w:ilvl w:val="0"/>
          <w:numId w:val="31"/>
        </w:numPr>
        <w:ind w:start="426" w:hanging="426"/>
        <w:jc w:val="both"/>
        <w:rPr/>
      </w:pPr>
      <w:r>
        <w:rPr/>
        <w:t>Objednatel si vyhrazuje právo po dokončení stavby umístit na libovolnou dobu na její viditelné místo tabulku s textem ve smyslu „Tuto stavbu (</w:t>
      </w:r>
      <w:r>
        <w:rPr>
          <w:i/>
        </w:rPr>
        <w:t>název stavby</w:t>
      </w:r>
      <w:r>
        <w:rPr/>
        <w:t>) realizovala v (</w:t>
      </w:r>
      <w:r>
        <w:rPr>
          <w:i/>
        </w:rPr>
        <w:t>termín realizace</w:t>
      </w:r>
      <w:r>
        <w:rPr/>
        <w:t>) firma (</w:t>
      </w:r>
      <w:r>
        <w:rPr>
          <w:i/>
        </w:rPr>
        <w:t>název a identifikační údaje zhotovitele</w:t>
      </w:r>
      <w:r>
        <w:rPr/>
        <w:t xml:space="preserve">)“. </w:t>
      </w:r>
    </w:p>
    <w:p>
      <w:pPr>
        <w:pStyle w:val="ListParagraph"/>
        <w:rPr/>
      </w:pPr>
      <w:r>
        <w:rPr/>
      </w:r>
    </w:p>
    <w:p>
      <w:pPr>
        <w:pStyle w:val="Normal"/>
        <w:numPr>
          <w:ilvl w:val="0"/>
          <w:numId w:val="31"/>
        </w:numPr>
        <w:ind w:start="426" w:hanging="426"/>
        <w:jc w:val="both"/>
        <w:rPr/>
      </w:pPr>
      <w:r>
        <w:rPr/>
        <w:t xml:space="preserve">Zhotovitel je povinen umožnit v prostoru staveniště provádění záchranného archeologického výzkumu </w:t>
      </w:r>
      <w:r>
        <w:rPr>
          <w:rFonts w:cs="Arial"/>
        </w:rPr>
        <w:t>ve smyslu zákona č. 20/1987 Sb., o státní památkové péči, v platném a účinném znění</w:t>
      </w:r>
      <w:r>
        <w:rPr/>
        <w:t xml:space="preserve"> třetí osobou a poskytnout jí potřebnou součinnost.</w:t>
      </w:r>
    </w:p>
    <w:p>
      <w:pPr>
        <w:pStyle w:val="ListParagraph"/>
        <w:rPr/>
      </w:pPr>
      <w:r>
        <w:rPr/>
      </w:r>
    </w:p>
    <w:p>
      <w:pPr>
        <w:pStyle w:val="Normal"/>
        <w:numPr>
          <w:ilvl w:val="0"/>
          <w:numId w:val="31"/>
        </w:numPr>
        <w:ind w:start="426" w:hanging="426"/>
        <w:jc w:val="both"/>
        <w:rPr/>
      </w:pPr>
      <w:r>
        <w:rPr/>
        <w:t xml:space="preserve">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 </w:t>
      </w:r>
    </w:p>
    <w:p>
      <w:pPr>
        <w:pStyle w:val="Normal"/>
        <w:jc w:val="both"/>
        <w:rPr/>
      </w:pPr>
      <w:r>
        <w:rPr/>
      </w:r>
    </w:p>
    <w:p>
      <w:pPr>
        <w:pStyle w:val="Normal"/>
        <w:numPr>
          <w:ilvl w:val="0"/>
          <w:numId w:val="31"/>
        </w:numPr>
        <w:ind w:start="426" w:hanging="426"/>
        <w:jc w:val="both"/>
        <w:rPr/>
      </w:pPr>
      <w:r>
        <w:rPr/>
        <w:t>Zhotovitel je povinen po celou dobu realizace stavby umožnit řádný výkon technického dozoru stavebníka, autorského dozoru a výkon činnosti koordinátora bezpečnosti a ochrany zdraví při práci na staveništi.</w:t>
      </w:r>
    </w:p>
    <w:p>
      <w:pPr>
        <w:pStyle w:val="Normal"/>
        <w:tabs>
          <w:tab w:val="clear" w:pos="709"/>
          <w:tab w:val="left" w:pos="426" w:leader="none"/>
        </w:tabs>
        <w:ind w:start="426" w:hanging="426"/>
        <w:rPr/>
      </w:pPr>
      <w:r>
        <w:rPr/>
      </w:r>
    </w:p>
    <w:p>
      <w:pPr>
        <w:pStyle w:val="Normal"/>
        <w:numPr>
          <w:ilvl w:val="0"/>
          <w:numId w:val="31"/>
        </w:numPr>
        <w:ind w:start="426" w:hanging="426"/>
        <w:jc w:val="both"/>
        <w:rPr/>
      </w:pPr>
      <w:r>
        <w:rPr/>
        <w:t>Zhotovitel se zavazuje poskytovat součinnosti koordinátorovi bezpečnosti a ochrany zdraví při práci na staveništi (dále jen „koordinátor“) podle zákona č. 309/2006 Sb. v platném znění, a to zejména:</w:t>
      </w:r>
    </w:p>
    <w:p>
      <w:pPr>
        <w:pStyle w:val="Normal"/>
        <w:ind w:start="720" w:hanging="360"/>
        <w:jc w:val="both"/>
        <w:rPr/>
      </w:pPr>
      <w:r>
        <w:rPr>
          <w:rFonts w:cs="Arial"/>
          <w:color w:val="000000"/>
        </w:rPr>
        <w:t>a)</w:t>
        <w:tab/>
        <w:t>Včas předávat veškeré podklady a informace pro jeho činnost vč. informací o fyzických osobách, které se mohou s jeho vědomím zdržovat na staveništi.</w:t>
      </w:r>
    </w:p>
    <w:p>
      <w:pPr>
        <w:pStyle w:val="Normal"/>
        <w:ind w:start="720" w:hanging="360"/>
        <w:jc w:val="both"/>
        <w:rPr/>
      </w:pPr>
      <w:r>
        <w:rPr>
          <w:rFonts w:cs="Arial"/>
          <w:color w:val="000000"/>
        </w:rPr>
        <w:t>b)</w:t>
        <w:tab/>
        <w:t>Poskytovat informace o aktuálních rizicích na staveništi všem osobám, které se s jeho vědomím na staveništi zdržují. Při porušení zásad bezpečnosti práce jakýmkoliv subjektem zajistí sjednání opatření a nápravu.</w:t>
      </w:r>
    </w:p>
    <w:p>
      <w:pPr>
        <w:pStyle w:val="Normal"/>
        <w:ind w:start="720" w:hanging="360"/>
        <w:jc w:val="both"/>
        <w:rPr/>
      </w:pPr>
      <w:r>
        <w:rPr>
          <w:rFonts w:cs="Arial"/>
          <w:color w:val="000000"/>
        </w:rPr>
        <w:t>c)</w:t>
        <w:tab/>
        <w:t>Nejméně 8 dní před zahájením prací bude informovat koordinátora o zvolených postupech a z nich vyplývajících rizicích vč. opatření přijímaných na odstranění nebo minimalizaci těchto rizik</w:t>
      </w:r>
    </w:p>
    <w:p>
      <w:pPr>
        <w:pStyle w:val="Normal"/>
        <w:ind w:start="720" w:hanging="360"/>
        <w:jc w:val="both"/>
        <w:rPr/>
      </w:pPr>
      <w:r>
        <w:rPr>
          <w:rFonts w:cs="Arial"/>
          <w:color w:val="000000"/>
        </w:rPr>
        <w:t>d)</w:t>
        <w:tab/>
        <w:t>Dodržovat plán BOZP a účastnit se kontrolních dnů koordinátora.</w:t>
      </w:r>
    </w:p>
    <w:p>
      <w:pPr>
        <w:pStyle w:val="Normal"/>
        <w:ind w:start="720" w:hanging="360"/>
        <w:jc w:val="both"/>
        <w:rPr/>
      </w:pPr>
      <w:r>
        <w:rPr>
          <w:rFonts w:cs="Arial"/>
          <w:color w:val="000000"/>
        </w:rPr>
        <w:t>e)</w:t>
        <w:tab/>
        <w:t>Zajistit v zákonné lhůtě vyvěšení oznámení o zahájení prací na viditelném místě u vstupu na staveniště nebo jeho aktualizaci po celou dobu provádění prací.</w:t>
      </w:r>
    </w:p>
    <w:p>
      <w:pPr>
        <w:pStyle w:val="Normal"/>
        <w:ind w:start="360" w:hanging="0"/>
        <w:jc w:val="both"/>
        <w:rPr>
          <w:rFonts w:cs="Arial"/>
          <w:color w:val="000000"/>
          <w:u w:val="single"/>
        </w:rPr>
      </w:pPr>
      <w:r>
        <w:rPr>
          <w:rFonts w:cs="Arial"/>
          <w:color w:val="000000"/>
          <w:u w:val="single"/>
        </w:rPr>
      </w:r>
    </w:p>
    <w:p>
      <w:pPr>
        <w:pStyle w:val="Normal"/>
        <w:ind w:start="360" w:hanging="0"/>
        <w:jc w:val="both"/>
        <w:rPr/>
      </w:pPr>
      <w:r>
        <w:rPr>
          <w:rFonts w:cs="Arial"/>
          <w:color w:val="000000"/>
          <w:u w:val="single"/>
        </w:rPr>
        <w:t xml:space="preserve">Koordinátor BOZP je oprávněn: </w:t>
      </w:r>
    </w:p>
    <w:p>
      <w:pPr>
        <w:pStyle w:val="Normal"/>
        <w:ind w:start="360" w:hanging="0"/>
        <w:jc w:val="both"/>
        <w:rPr/>
      </w:pPr>
      <w:r>
        <w:rPr>
          <w:rFonts w:cs="Arial"/>
          <w:color w:val="000000"/>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pPr>
        <w:pStyle w:val="Normal"/>
        <w:ind w:start="360" w:hanging="0"/>
        <w:jc w:val="both"/>
        <w:rPr/>
      </w:pPr>
      <w:r>
        <w:rPr>
          <w:rFonts w:cs="Arial"/>
          <w:color w:val="000000"/>
        </w:rPr>
        <w:t xml:space="preserve">- provádět při realizaci stavby činnosti vyplývající z nařízení vlády č. 591/2006 Sb. o bližších minimálních požadavcích na bezpečnost a ochranu zdraví při práci na staveništi; </w:t>
      </w:r>
    </w:p>
    <w:p>
      <w:pPr>
        <w:pStyle w:val="Normal"/>
        <w:ind w:start="360" w:hanging="0"/>
        <w:jc w:val="both"/>
        <w:rPr/>
      </w:pPr>
      <w:r>
        <w:rPr>
          <w:rFonts w:cs="Arial"/>
          <w:color w:val="000000"/>
        </w:rPr>
        <w:t xml:space="preserve">- upozornit zhotovitele na nesoulad provádění stavebních prací s platnými právními předpisy upravujícími dodržování bezpečnosti a ochrany zdraví při práci na staveništi; </w:t>
      </w:r>
    </w:p>
    <w:p>
      <w:pPr>
        <w:pStyle w:val="Normal"/>
        <w:ind w:start="360" w:hanging="0"/>
        <w:jc w:val="both"/>
        <w:rPr/>
      </w:pPr>
      <w:r>
        <w:rPr>
          <w:rFonts w:cs="Arial"/>
          <w:color w:val="000000"/>
        </w:rPr>
        <w:t xml:space="preserve">- požadovat po zhotoviteli provádění stavebních prací v souladu s platnými právními předpisy upravujícími dodržování bezpečnosti a ochrany zdraví při práci na staveništi; </w:t>
      </w:r>
    </w:p>
    <w:p>
      <w:pPr>
        <w:pStyle w:val="Normal"/>
        <w:ind w:start="360" w:hanging="0"/>
        <w:jc w:val="both"/>
        <w:rPr/>
      </w:pPr>
      <w:r>
        <w:rPr>
          <w:rFonts w:cs="Arial"/>
          <w:color w:val="000000"/>
        </w:rPr>
        <w:t xml:space="preserve">- pozastavit provádění stavebních prací z důvodů závažného nebo opakovaného porušování platných právních předpisů upravujících dodržování bezpečnosti a ochrany zdraví při práci na staveništi. </w:t>
      </w:r>
    </w:p>
    <w:p>
      <w:pPr>
        <w:pStyle w:val="Normal"/>
        <w:tabs>
          <w:tab w:val="clear" w:pos="709"/>
          <w:tab w:val="left" w:pos="426" w:leader="none"/>
          <w:tab w:val="left" w:pos="851" w:leader="none"/>
          <w:tab w:val="left" w:pos="1134" w:leader="none"/>
        </w:tabs>
        <w:ind w:start="360" w:hanging="0"/>
        <w:jc w:val="both"/>
        <w:rPr>
          <w:rFonts w:cs="Arial"/>
          <w:color w:val="000000"/>
        </w:rPr>
      </w:pPr>
      <w:r>
        <w:rPr>
          <w:rFonts w:cs="Arial"/>
          <w:color w:val="000000"/>
        </w:rPr>
      </w:r>
    </w:p>
    <w:p>
      <w:pPr>
        <w:pStyle w:val="Normal"/>
        <w:tabs>
          <w:tab w:val="clear" w:pos="709"/>
          <w:tab w:val="left" w:pos="426" w:leader="none"/>
          <w:tab w:val="left" w:pos="851" w:leader="none"/>
          <w:tab w:val="left" w:pos="1134" w:leader="none"/>
        </w:tabs>
        <w:ind w:start="360" w:hanging="0"/>
        <w:jc w:val="both"/>
        <w:rPr/>
      </w:pPr>
      <w:r>
        <w:rPr>
          <w:rFonts w:cs="Arial"/>
          <w:color w:val="000000"/>
        </w:rPr>
        <w:t>K veškerým povinnostem vůči koordinátorovi je zhotovitel povinen zavázat i všechny své podzhotovitele.</w:t>
      </w:r>
    </w:p>
    <w:p>
      <w:pPr>
        <w:pStyle w:val="Normal"/>
        <w:tabs>
          <w:tab w:val="clear" w:pos="709"/>
          <w:tab w:val="left" w:pos="426" w:leader="none"/>
          <w:tab w:val="left" w:pos="851" w:leader="none"/>
          <w:tab w:val="left" w:pos="1134" w:leader="none"/>
        </w:tabs>
        <w:jc w:val="both"/>
        <w:rPr/>
      </w:pPr>
      <w:r>
        <w:rPr/>
      </w:r>
    </w:p>
    <w:p>
      <w:pPr>
        <w:pStyle w:val="Normal"/>
        <w:tabs>
          <w:tab w:val="clear" w:pos="709"/>
          <w:tab w:val="left" w:pos="426" w:leader="none"/>
          <w:tab w:val="left" w:pos="851" w:leader="none"/>
          <w:tab w:val="left" w:pos="1134" w:leader="none"/>
        </w:tabs>
        <w:jc w:val="both"/>
        <w:rPr>
          <w:rFonts w:cs="Arial"/>
          <w:color w:val="0000FF"/>
        </w:rPr>
      </w:pPr>
      <w:r>
        <w:rPr>
          <w:rFonts w:cs="Arial"/>
          <w:color w:val="0000FF"/>
        </w:rPr>
      </w:r>
    </w:p>
    <w:p>
      <w:pPr>
        <w:pStyle w:val="Normal"/>
        <w:tabs>
          <w:tab w:val="clear" w:pos="709"/>
          <w:tab w:val="left" w:pos="426" w:leader="none"/>
          <w:tab w:val="left" w:pos="851" w:leader="none"/>
          <w:tab w:val="left" w:pos="1134" w:leader="none"/>
        </w:tabs>
        <w:jc w:val="center"/>
        <w:rPr/>
      </w:pPr>
      <w:r>
        <w:rPr>
          <w:rFonts w:cs="Arial"/>
          <w:b/>
        </w:rPr>
        <w:t>Čl. 9</w:t>
      </w:r>
    </w:p>
    <w:p>
      <w:pPr>
        <w:pStyle w:val="Normal"/>
        <w:tabs>
          <w:tab w:val="clear" w:pos="709"/>
          <w:tab w:val="left" w:pos="426" w:leader="none"/>
          <w:tab w:val="left" w:pos="851" w:leader="none"/>
          <w:tab w:val="left" w:pos="1134" w:leader="none"/>
        </w:tabs>
        <w:jc w:val="center"/>
        <w:rPr/>
      </w:pPr>
      <w:r>
        <w:rPr>
          <w:rFonts w:cs="Arial"/>
          <w:b/>
        </w:rPr>
        <w:t>Stavební deník a kontrolní dny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 xml:space="preserve">Po celou dobu provádění díla je zhotovitel v souladu s § 166 zák. č. 283/2021 Sb.,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color w:val="000000"/>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10</w:t>
      </w:r>
    </w:p>
    <w:p>
      <w:pPr>
        <w:pStyle w:val="Normal"/>
        <w:tabs>
          <w:tab w:val="clear" w:pos="709"/>
          <w:tab w:val="left" w:pos="426" w:leader="none"/>
          <w:tab w:val="left" w:pos="851" w:leader="none"/>
          <w:tab w:val="left" w:pos="1134" w:leader="none"/>
        </w:tabs>
        <w:jc w:val="center"/>
        <w:rPr/>
      </w:pPr>
      <w:r>
        <w:rPr>
          <w:rFonts w:cs="Arial"/>
          <w:b/>
        </w:rPr>
        <w:t>Předání a převzetí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stranami a to podepsáním zápisu o předání a převzetí.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Nejpozději 10 dnů před dokončením a předáním díla je zhotovitel povinen oznámit objednateli a technickému dozoru stavebníka den, kdy bude řádně provedené dílo připraveno k předání a převzetí. Na tomto základě projednají smluvní strany program a organizaci přejímacího řízení a to tak, aby bylo technicky možné ukončit přejímací řízení k datu podle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Zhotovitel je povinen přizvat k přejímacímu řízení ty své podzhotovitele, jejichž účast je nutná k řádnému předání díla, objednatel přizve k přejímacímu řízení osoby vykonávající funkci technického dozoru stavebníka a autorského dozoru.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Nedohodnou-li se smluvní strany jinak, pořizuje zápis o předání a převzetí objednatel. Zápis obsahuje zejména: </w:t>
      </w:r>
    </w:p>
    <w:p>
      <w:pPr>
        <w:pStyle w:val="Normal"/>
        <w:numPr>
          <w:ilvl w:val="0"/>
          <w:numId w:val="2"/>
        </w:numPr>
        <w:tabs>
          <w:tab w:val="clear" w:pos="709"/>
          <w:tab w:val="left" w:pos="426" w:leader="none"/>
          <w:tab w:val="left" w:pos="851" w:leader="none"/>
          <w:tab w:val="left" w:pos="1134" w:leader="none"/>
        </w:tabs>
        <w:spacing w:before="80" w:after="0"/>
        <w:ind w:start="851" w:hanging="425"/>
        <w:jc w:val="both"/>
        <w:rPr/>
      </w:pPr>
      <w:r>
        <w:rPr>
          <w:rFonts w:cs="Arial"/>
        </w:rPr>
        <w:t>údaje určující zhotovitele a objednatele se jmény osob oprávněných jednat</w:t>
      </w:r>
    </w:p>
    <w:p>
      <w:pPr>
        <w:pStyle w:val="Normal"/>
        <w:numPr>
          <w:ilvl w:val="0"/>
          <w:numId w:val="2"/>
        </w:numPr>
        <w:tabs>
          <w:tab w:val="clear" w:pos="709"/>
          <w:tab w:val="left" w:pos="426" w:leader="none"/>
          <w:tab w:val="left" w:pos="851" w:leader="none"/>
          <w:tab w:val="left" w:pos="1134" w:leader="none"/>
        </w:tabs>
        <w:spacing w:before="80" w:after="0"/>
        <w:ind w:start="851" w:hanging="425"/>
        <w:jc w:val="both"/>
        <w:rPr/>
      </w:pPr>
      <w:r>
        <w:rPr>
          <w:rFonts w:cs="Arial"/>
        </w:rPr>
        <w:t>popis díla, které je předmětem předání a převzetí</w:t>
      </w:r>
    </w:p>
    <w:p>
      <w:pPr>
        <w:pStyle w:val="Normal"/>
        <w:numPr>
          <w:ilvl w:val="0"/>
          <w:numId w:val="2"/>
        </w:numPr>
        <w:tabs>
          <w:tab w:val="clear" w:pos="709"/>
          <w:tab w:val="left" w:pos="426" w:leader="none"/>
          <w:tab w:val="left" w:pos="851" w:leader="none"/>
          <w:tab w:val="left" w:pos="1134" w:leader="none"/>
        </w:tabs>
        <w:spacing w:before="80" w:after="0"/>
        <w:ind w:start="851" w:hanging="425"/>
        <w:jc w:val="both"/>
        <w:rPr/>
      </w:pPr>
      <w:r>
        <w:rPr>
          <w:rFonts w:cs="Arial"/>
        </w:rPr>
        <w:t>popis případných změn díla vůči projektu pro provedení</w:t>
      </w:r>
    </w:p>
    <w:p>
      <w:pPr>
        <w:pStyle w:val="Normal"/>
        <w:numPr>
          <w:ilvl w:val="0"/>
          <w:numId w:val="2"/>
        </w:numPr>
        <w:tabs>
          <w:tab w:val="clear" w:pos="709"/>
          <w:tab w:val="left" w:pos="426" w:leader="none"/>
          <w:tab w:val="left" w:pos="851" w:leader="none"/>
          <w:tab w:val="left" w:pos="1134" w:leader="none"/>
        </w:tabs>
        <w:spacing w:before="80" w:after="0"/>
        <w:ind w:start="851" w:hanging="425"/>
        <w:jc w:val="both"/>
        <w:rPr/>
      </w:pPr>
      <w:r>
        <w:rPr>
          <w:rFonts w:cs="Arial"/>
        </w:rPr>
        <w:t>prohlášení objednatele, zda předmět díla přejímá či nepřejímá.</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Nejpozději při zahájení přejímky dokončeného díla, předloží zhotovitel objednateli veškerou potřebnou dokumentaci k řádnému provozování a kolaudaci díla, resp. stavby, která je předmětem díla, zejména: </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projekt skutečného provedení stavby;</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 xml:space="preserve">pasporty, kopie záručních listů, návody k obsluze od zařízení, která jsou součástí odevzdávaného díla; </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originály stavebních deníků nebo jednoduchých záznamů o stavbě nebo montážních deníků;</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doklady o zákonné likvidaci odpadů vzniklých při provádění díla;</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veškerou další dokumentaci, uvedenou v čl. 1 odst. 5 této smlouvy.</w:t>
      </w:r>
    </w:p>
    <w:p>
      <w:pPr>
        <w:pStyle w:val="Normal"/>
        <w:tabs>
          <w:tab w:val="clear" w:pos="709"/>
          <w:tab w:val="left" w:pos="426" w:leader="none"/>
          <w:tab w:val="left" w:pos="851" w:leader="none"/>
          <w:tab w:val="left" w:pos="1134" w:leader="none"/>
        </w:tabs>
        <w:spacing w:before="80" w:after="0"/>
        <w:ind w:start="426" w:hanging="0"/>
        <w:jc w:val="both"/>
        <w:rPr/>
      </w:pPr>
      <w:r>
        <w:rPr>
          <w:rFonts w:cs="Arial"/>
        </w:rPr>
        <w:t xml:space="preserve">Veškerá dokumentace musí být předána v českém jazyce, pokud nebude dohodnuto jinak.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11</w:t>
      </w:r>
    </w:p>
    <w:p>
      <w:pPr>
        <w:pStyle w:val="Normal"/>
        <w:tabs>
          <w:tab w:val="clear" w:pos="709"/>
          <w:tab w:val="left" w:pos="426" w:leader="none"/>
          <w:tab w:val="left" w:pos="851" w:leader="none"/>
          <w:tab w:val="left" w:pos="1134" w:leader="none"/>
        </w:tabs>
        <w:jc w:val="center"/>
        <w:rPr/>
      </w:pPr>
      <w:r>
        <w:rPr>
          <w:rFonts w:cs="Arial"/>
          <w:b/>
        </w:rPr>
        <w:t>Vlastnictví k dílu a odpovědnost za škodu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
        </w:numPr>
        <w:tabs>
          <w:tab w:val="clear" w:pos="709"/>
          <w:tab w:val="left" w:pos="426" w:leader="none"/>
          <w:tab w:val="left" w:pos="851" w:leader="none"/>
          <w:tab w:val="left" w:pos="1134" w:leader="none"/>
        </w:tabs>
        <w:ind w:start="426" w:hanging="426"/>
        <w:jc w:val="both"/>
        <w:rPr/>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
        </w:numPr>
        <w:tabs>
          <w:tab w:val="clear" w:pos="709"/>
          <w:tab w:val="left" w:pos="426" w:leader="none"/>
          <w:tab w:val="left" w:pos="851" w:leader="none"/>
          <w:tab w:val="left" w:pos="1134" w:leader="none"/>
        </w:tabs>
        <w:ind w:start="426" w:hanging="426"/>
        <w:jc w:val="both"/>
        <w:rPr/>
      </w:pPr>
      <w:r>
        <w:rPr>
          <w:rFonts w:cs="Arial"/>
        </w:rPr>
        <w:t>Od okamžiku převzetí staveniště od objednatele až do dne konečného předání a převzetí díla nese zhotovitel nebezpečí vzniku škody na věci (ztráta, odcizení, zničení, poškození, živelná pohroma, apod.) na prováděném díle.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
        </w:numPr>
        <w:tabs>
          <w:tab w:val="clear" w:pos="709"/>
          <w:tab w:val="left" w:pos="426" w:leader="none"/>
          <w:tab w:val="left" w:pos="851" w:leader="none"/>
          <w:tab w:val="left" w:pos="1134" w:leader="none"/>
        </w:tabs>
        <w:ind w:start="426" w:hanging="426"/>
        <w:jc w:val="both"/>
        <w:rPr/>
      </w:pPr>
      <w:r>
        <w:rPr>
          <w:rFonts w:cs="Arial"/>
        </w:rPr>
        <w:t>Zhotovitel nese odpovědnost za škodu, kterou by svou činností způsobil na majetku objednatele a třetích osob.</w:t>
      </w:r>
      <w:r>
        <w:rPr>
          <w:rFonts w:cs="Arial"/>
          <w:color w:val="0000FF"/>
        </w:rPr>
        <w:t xml:space="preserve"> </w:t>
      </w:r>
      <w:r>
        <w:rPr>
          <w:rFonts w:cs="Arial"/>
        </w:rPr>
        <w:t>Nese i odpovědnost za poškození zdraví, které by svou činností způsobil těmto osobám, nebo které by vzniklo v souvislosti s činností zhotovitele anebo osob, které pro něj dílo provádějí.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
        </w:numPr>
        <w:tabs>
          <w:tab w:val="clear" w:pos="709"/>
          <w:tab w:val="left" w:pos="426" w:leader="none"/>
          <w:tab w:val="left" w:pos="851" w:leader="none"/>
          <w:tab w:val="left" w:pos="1134" w:leader="none"/>
        </w:tabs>
        <w:ind w:start="426" w:hanging="426"/>
        <w:jc w:val="both"/>
        <w:rPr/>
      </w:pPr>
      <w:r>
        <w:rPr>
          <w:rFonts w:cs="Arial"/>
        </w:rPr>
        <w:t xml:space="preserve">Zhotovitel nese odpovědnost za škodu způsobenou objednateli, přičemž za škodu se považuje mimo jiné též: </w:t>
      </w:r>
    </w:p>
    <w:p>
      <w:pPr>
        <w:pStyle w:val="Normal"/>
        <w:numPr>
          <w:ilvl w:val="0"/>
          <w:numId w:val="2"/>
        </w:numPr>
        <w:tabs>
          <w:tab w:val="clear" w:pos="709"/>
          <w:tab w:val="left" w:pos="851" w:leader="none"/>
          <w:tab w:val="left" w:pos="1134" w:leader="none"/>
        </w:tabs>
        <w:ind w:firstLine="66"/>
        <w:jc w:val="both"/>
        <w:rPr/>
      </w:pPr>
      <w:r>
        <w:rPr>
          <w:rFonts w:cs="Arial"/>
        </w:rPr>
        <w:t>nepřiznání, krácení nebo vratka finanční podpory / dotace z důvodů zapříčiněných zhotovitelem, a to vč. penále a pokut;</w:t>
      </w:r>
    </w:p>
    <w:p>
      <w:pPr>
        <w:pStyle w:val="Normal"/>
        <w:numPr>
          <w:ilvl w:val="0"/>
          <w:numId w:val="2"/>
        </w:numPr>
        <w:tabs>
          <w:tab w:val="clear" w:pos="709"/>
          <w:tab w:val="left" w:pos="851" w:leader="none"/>
          <w:tab w:val="left" w:pos="1134" w:leader="none"/>
        </w:tabs>
        <w:ind w:firstLine="66"/>
        <w:jc w:val="both"/>
        <w:rPr>
          <w:rFonts w:cs="Arial"/>
        </w:rPr>
      </w:pPr>
      <w:r>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pPr>
        <w:pStyle w:val="Normal"/>
        <w:numPr>
          <w:ilvl w:val="0"/>
          <w:numId w:val="2"/>
        </w:numPr>
        <w:tabs>
          <w:tab w:val="clear" w:pos="709"/>
          <w:tab w:val="left" w:pos="851" w:leader="none"/>
          <w:tab w:val="left" w:pos="1134" w:leader="none"/>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12</w:t>
      </w:r>
    </w:p>
    <w:p>
      <w:pPr>
        <w:pStyle w:val="Normal"/>
        <w:tabs>
          <w:tab w:val="clear" w:pos="709"/>
          <w:tab w:val="left" w:pos="426" w:leader="none"/>
          <w:tab w:val="left" w:pos="851" w:leader="none"/>
          <w:tab w:val="left" w:pos="1134" w:leader="none"/>
        </w:tabs>
        <w:jc w:val="center"/>
        <w:rPr/>
      </w:pPr>
      <w:r>
        <w:rPr>
          <w:rFonts w:cs="Arial"/>
          <w:b/>
        </w:rPr>
        <w:t>Odstoupení od smlouvy, podstatné porušení smlouvy, smluvní pokuty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 xml:space="preserve">Za podstatné porušení smluvních povinností, zakládající právo objednatele k odstoupení od této smlouvy, se považují tyto skutečnosti: </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nezahájení prací z důvodů na straně zhotovitele ani do 6 pracovních dnů od sjednaného termínu zahájení prací;</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prodlení zhotovitele s dokončením díla delší jak 30 dnů;</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pPr>
        <w:pStyle w:val="Normal"/>
        <w:tabs>
          <w:tab w:val="clear" w:pos="709"/>
          <w:tab w:val="left" w:pos="500" w:leader="none"/>
          <w:tab w:val="left" w:pos="851" w:leader="none"/>
          <w:tab w:val="left" w:pos="1134" w:leader="none"/>
        </w:tabs>
        <w:spacing w:before="80" w:after="0"/>
        <w:ind w:start="500" w:hanging="500"/>
        <w:jc w:val="both"/>
        <w:rPr>
          <w:rFonts w:cs="Arial"/>
        </w:rPr>
      </w:pPr>
      <w:r>
        <w:rPr>
          <w:rFonts w:cs="Arial"/>
        </w:rPr>
        <w:tab/>
        <w:t>V případě odstoupení od smlouvy dle tohoto odstavce nevzniká zhotoviteli nárok na náhradu škody.</w:t>
      </w:r>
    </w:p>
    <w:p>
      <w:pPr>
        <w:pStyle w:val="Normal"/>
        <w:tabs>
          <w:tab w:val="clear" w:pos="709"/>
          <w:tab w:val="left" w:pos="500" w:leader="none"/>
          <w:tab w:val="left" w:pos="851" w:leader="none"/>
          <w:tab w:val="left" w:pos="1134" w:leader="none"/>
        </w:tabs>
        <w:spacing w:before="80" w:after="0"/>
        <w:ind w:start="500" w:hanging="500"/>
        <w:jc w:val="both"/>
        <w:rPr>
          <w:rFonts w:cs="Arial"/>
        </w:rPr>
      </w:pPr>
      <w:r>
        <w:rPr>
          <w:rFonts w:cs="Arial"/>
        </w:rPr>
      </w:r>
    </w:p>
    <w:p>
      <w:pPr>
        <w:pStyle w:val="Normal"/>
        <w:numPr>
          <w:ilvl w:val="0"/>
          <w:numId w:val="15"/>
        </w:numPr>
        <w:tabs>
          <w:tab w:val="clear" w:pos="709"/>
          <w:tab w:val="left" w:pos="500" w:leader="none"/>
          <w:tab w:val="left" w:pos="720" w:leader="none"/>
          <w:tab w:val="left" w:pos="851" w:leader="none"/>
          <w:tab w:val="left" w:pos="1134" w:leader="none"/>
        </w:tabs>
        <w:spacing w:before="80" w:after="0"/>
        <w:ind w:start="500" w:hanging="500"/>
        <w:jc w:val="both"/>
        <w:rPr/>
      </w:pPr>
      <w:r>
        <w:rPr>
          <w:rFonts w:cs="Arial"/>
        </w:rPr>
        <w:t>Dále je objednatel oprávněn od této smlouvy odstoupit ze zákonných důvodů v případě, že z viny zhotovitele dojde k porušení některého ze zákonných ustanovení, např. k porušení některého z ustanovení zákona o zadávání veřejných zakázek, či jiného obecně závazného právního předpisu, nebo uvede objednatele v omyl.</w:t>
      </w:r>
    </w:p>
    <w:p>
      <w:pPr>
        <w:pStyle w:val="Normal"/>
        <w:tabs>
          <w:tab w:val="clear" w:pos="709"/>
          <w:tab w:val="left" w:pos="500" w:leader="none"/>
          <w:tab w:val="left" w:pos="851" w:leader="none"/>
          <w:tab w:val="left" w:pos="1134" w:leader="none"/>
        </w:tabs>
        <w:spacing w:before="80" w:after="0"/>
        <w:ind w:start="500" w:hanging="500"/>
        <w:jc w:val="both"/>
        <w:rPr/>
      </w:pPr>
      <w:r>
        <w:rPr>
          <w:rFonts w:cs="Arial"/>
        </w:rPr>
        <w:tab/>
        <w:t>V případě odstoupení od smlouvy podle tohoto odstavce nevzniká zhotoviteli nárok na náhradu škody.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Odstoupení od smlouvy musí být učiněno písemně a jeho účinnost nastává okamžikem jeho doručení druhé straně.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Smluvní pokuty jsou stanoveny takto:</w:t>
      </w:r>
    </w:p>
    <w:p>
      <w:pPr>
        <w:pStyle w:val="Normal"/>
        <w:numPr>
          <w:ilvl w:val="0"/>
          <w:numId w:val="26"/>
        </w:numPr>
        <w:jc w:val="both"/>
        <w:rPr/>
      </w:pPr>
      <w:r>
        <w:rPr/>
        <w:t>při prodlení zhotovitele s předáním díla objednateli ve sjednaném termínu vyúčtuje objednatel zhotoviteli smluvní pokutu ve výši 0,1% ze sjednané ceny díla za každý i započatý den prodlení až do předání a převzetí;</w:t>
      </w:r>
    </w:p>
    <w:p>
      <w:pPr>
        <w:pStyle w:val="Normal"/>
        <w:numPr>
          <w:ilvl w:val="0"/>
          <w:numId w:val="26"/>
        </w:numPr>
        <w:jc w:val="both"/>
        <w:rPr/>
      </w:pPr>
      <w:r>
        <w:rPr/>
        <w:t>při prodlení zhotovitele se zahájením prací na díle zhotovitelem vyúčtuje objednatel zhotoviteli smluvní pokutu ve výši 1.000,- Kč za každý i započatý den prodlení;</w:t>
      </w:r>
    </w:p>
    <w:p>
      <w:pPr>
        <w:pStyle w:val="Normal"/>
        <w:numPr>
          <w:ilvl w:val="0"/>
          <w:numId w:val="26"/>
        </w:numPr>
        <w:jc w:val="both"/>
        <w:rPr/>
      </w:pPr>
      <w:r>
        <w:rPr/>
        <w:t>při prodlení zhotovitele s odstraňováním vad a nedodělků v termínech uvedených v zápisu o předání a převzetí vyúčtuje objednatel zhotoviteli smluvní pokutu ve výši 1.000,- Kč za každý nedodělek nebo vadu a každý i započatý den prodlení;</w:t>
      </w:r>
    </w:p>
    <w:p>
      <w:pPr>
        <w:pStyle w:val="Normal"/>
        <w:numPr>
          <w:ilvl w:val="0"/>
          <w:numId w:val="26"/>
        </w:numPr>
        <w:jc w:val="both"/>
        <w:rPr/>
      </w:pPr>
      <w:r>
        <w:rPr/>
        <w:t>při prodlení zhotovitele s odstraňováním reklamovaných vad v termínech dle této smlouvy vyúčtuje objednatel zhotoviteli smluvní pokutu ve výši 1.000,- Kč za každou vadu a každý i započatý den prodlení;</w:t>
      </w:r>
    </w:p>
    <w:p>
      <w:pPr>
        <w:pStyle w:val="Normal"/>
        <w:numPr>
          <w:ilvl w:val="0"/>
          <w:numId w:val="26"/>
        </w:numPr>
        <w:jc w:val="both"/>
        <w:rPr/>
      </w:pPr>
      <w:r>
        <w:rPr/>
        <w:t>v případě prodlení se splatností faktury má zhotovitel právo vyúčtovat objednateli smluvní pokutu ve výši 0,1 % z dlužné částky za každý i započatý den prodlení;</w:t>
      </w:r>
    </w:p>
    <w:p>
      <w:pPr>
        <w:pStyle w:val="Normal"/>
        <w:numPr>
          <w:ilvl w:val="0"/>
          <w:numId w:val="26"/>
        </w:numPr>
        <w:jc w:val="both"/>
        <w:rPr/>
      </w:pPr>
      <w:r>
        <w:rPr/>
        <w:t>při bezdůvodném prodlení objednatele s převzetím dokončeného díla bez vad a nedodělků má zhotovitel právo vyúčtovat objednateli smluvní pokutu ve výši 1.000,- Kč za každý i započatý den prodlení;</w:t>
      </w:r>
    </w:p>
    <w:p>
      <w:pPr>
        <w:pStyle w:val="Normal"/>
        <w:numPr>
          <w:ilvl w:val="0"/>
          <w:numId w:val="26"/>
        </w:numPr>
        <w:jc w:val="both"/>
        <w:rPr/>
      </w:pPr>
      <w:r>
        <w:rPr/>
        <w:t>v případě, že zhotovitel změní bez souhlasu objednatele osobu stavbyvedoucího, vyúčtuje objednatel zhotoviteli smluvní pokutu ve výši 5.000,- Kč za každou jednotlivou, objednatelem neodsouhlasenou změnu;</w:t>
      </w:r>
    </w:p>
    <w:p>
      <w:pPr>
        <w:pStyle w:val="Normal"/>
        <w:numPr>
          <w:ilvl w:val="0"/>
          <w:numId w:val="26"/>
        </w:numPr>
        <w:jc w:val="both"/>
        <w:rPr/>
      </w:pPr>
      <w:r>
        <w:rPr/>
        <w:t xml:space="preserve">v případě, že zhotovitel změní podzhotovitele v rozporu s čl. 8, odst. 6 této smlouvy, vyúčtuje objednatel zhotoviteli smluvní pokutu ve výši 5.000,- Kč za každou jednotlivou změnu. Dále je zhotovitel povinen uhradit veškeré škody, které objednateli vzniknou v důsledku porušení podmínek poskytovatele finanční podpory z tohoto důvodu. Za škodu se v tomto případě považuje i krácení finanční podpory či vyměření pokuty objednateli z tohoto důvodu; </w:t>
      </w:r>
    </w:p>
    <w:p>
      <w:pPr>
        <w:pStyle w:val="Normal"/>
        <w:numPr>
          <w:ilvl w:val="0"/>
          <w:numId w:val="26"/>
        </w:numPr>
        <w:jc w:val="both"/>
        <w:rPr/>
      </w:pPr>
      <w:r>
        <w:rPr/>
        <w:t xml:space="preserve">v případě, že zhotovitel před zahájením prací nepředá </w:t>
      </w:r>
      <w:r>
        <w:rPr>
          <w:rFonts w:cs="Arial"/>
        </w:rPr>
        <w:t xml:space="preserve">na vodohospodářský dispečink Povodí Moravy, s.p. a objednateli po jednom schváleném vyhotovení havarijního a povodňového plánu pro provádění stavby dle čl. 1, odst. 6, písm. p) této smlouvy, vyúčtuje objednatel zhotoviteli </w:t>
      </w:r>
      <w:r>
        <w:rPr/>
        <w:t>smluvní pokutu ve výši 500,- Kč za každý i započatý den nesplnění této povinnosti.</w:t>
      </w:r>
      <w:r>
        <w:rPr>
          <w:rFonts w:cs="Arial"/>
        </w:rPr>
        <w:t xml:space="preserve"> </w:t>
      </w:r>
      <w:r>
        <w:rPr/>
        <w:t>Dále je zhotovitel povinen uhradit veškeré škody, které objednateli vzniknou z tohoto důvodu. Za škodu se v tomto případě považuje i krácení finanční podpory či vyměření pokuty objednateli z tohoto důvodu;</w:t>
      </w:r>
      <w:r>
        <w:rPr>
          <w:rFonts w:cs="Arial"/>
        </w:rPr>
        <w:t xml:space="preserve"> </w:t>
      </w:r>
    </w:p>
    <w:p>
      <w:pPr>
        <w:pStyle w:val="Normal"/>
        <w:numPr>
          <w:ilvl w:val="0"/>
          <w:numId w:val="26"/>
        </w:numPr>
        <w:jc w:val="both"/>
        <w:rPr/>
      </w:pPr>
      <w:r>
        <w:rPr/>
        <w:t xml:space="preserve">při nedodržení pokynů koordinátora BOZP vyúčtuje objednatel zhotoviteli smluvní pokutu výši 3.000,- Kč za každé jednotlivé nedodržení pokynu koordinátora BOZP; </w:t>
      </w:r>
    </w:p>
    <w:p>
      <w:pPr>
        <w:pStyle w:val="Normal"/>
        <w:numPr>
          <w:ilvl w:val="0"/>
          <w:numId w:val="26"/>
        </w:numPr>
        <w:jc w:val="both"/>
        <w:rPr/>
      </w:pPr>
      <w:r>
        <w:rPr/>
        <w:t>pokud zhotovitel nepředloží objednateli kopie pojistných smluv v termínu a obsahem uvedeným v čl. 15, odst. 1 této smlouvy, vyúčtuje objednatel zhotoviteli smluvní pokutu ve výši 5.000,- Kč;</w:t>
      </w:r>
    </w:p>
    <w:p>
      <w:pPr>
        <w:pStyle w:val="Normal"/>
        <w:numPr>
          <w:ilvl w:val="0"/>
          <w:numId w:val="26"/>
        </w:numPr>
        <w:jc w:val="both"/>
        <w:rPr/>
      </w:pPr>
      <w:r>
        <w:rPr/>
        <w:t xml:space="preserve">pokud zhotovitel nepředloží objednateli údaje dle čl. 8, odst. 23 této smlouvy, vyúčtuje objednatel zhotoviteli smluvní pokutu ve výši 5.000,-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Za škodu se v tomto případě považuje i vyměření pokuty objednateli z tohoto důvodu; </w:t>
      </w:r>
    </w:p>
    <w:p>
      <w:pPr>
        <w:pStyle w:val="Normal"/>
        <w:numPr>
          <w:ilvl w:val="0"/>
          <w:numId w:val="26"/>
        </w:numPr>
        <w:jc w:val="both"/>
        <w:rPr/>
      </w:pPr>
      <w:r>
        <w:rPr/>
        <w:t xml:space="preserve">pokud zhotovitel nebude řádně udržovat na staveništi a jeho okolí pořádek (dle ustanovení čl. 1, odst. 6, písm. c) a čl. 8, odst. 13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pPr>
        <w:pStyle w:val="Normal"/>
        <w:numPr>
          <w:ilvl w:val="0"/>
          <w:numId w:val="26"/>
        </w:numPr>
        <w:jc w:val="both"/>
        <w:rPr/>
      </w:pPr>
      <w:r>
        <w:rPr/>
        <w:t xml:space="preserve">v případě, že objednatel odstoupí od smlouvy z důvodu uvedeného v čl. 12, odst. 1, písm. a) a c) této smlouvy, je zhotovitel povinen uhradit objednateli smluvní pokutu ve výši 100.000,- Kč. </w:t>
      </w:r>
    </w:p>
    <w:p>
      <w:pPr>
        <w:pStyle w:val="Normal"/>
        <w:tabs>
          <w:tab w:val="clear" w:pos="709"/>
          <w:tab w:val="left" w:pos="426" w:leader="none"/>
          <w:tab w:val="left" w:pos="851" w:leader="none"/>
          <w:tab w:val="left" w:pos="1134" w:leader="none"/>
        </w:tabs>
        <w:ind w:start="426" w:hanging="426"/>
        <w:jc w:val="both"/>
        <w:rPr>
          <w:rFonts w:cs="Arial"/>
          <w:color w:val="0000FF"/>
        </w:rPr>
      </w:pPr>
      <w:r>
        <w:rPr>
          <w:rFonts w:cs="Arial"/>
          <w:color w:val="0000FF"/>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Smluvní pokuta je splatná do 15 dnů od doručení jejího písemného vyúčtování druhé smluvní straně, případně je možno uplatněnou smluvní pokutu jednostranně započíst.</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Zaplacením smluvní pokuty není dotčen nárok na náhradu škody.</w:t>
      </w:r>
    </w:p>
    <w:p>
      <w:pPr>
        <w:pStyle w:val="ListParagraph"/>
        <w:rPr/>
      </w:pPr>
      <w:r>
        <w:rPr/>
      </w:r>
    </w:p>
    <w:p>
      <w:pPr>
        <w:pStyle w:val="Normal"/>
        <w:numPr>
          <w:ilvl w:val="0"/>
          <w:numId w:val="15"/>
        </w:numPr>
        <w:tabs>
          <w:tab w:val="clear" w:pos="709"/>
          <w:tab w:val="left" w:pos="426" w:leader="none"/>
          <w:tab w:val="left" w:pos="851" w:leader="none"/>
          <w:tab w:val="left" w:pos="1134" w:leader="none"/>
        </w:tabs>
        <w:ind w:start="426" w:hanging="426"/>
        <w:jc w:val="both"/>
        <w:rPr/>
      </w:pPr>
      <w:r>
        <w:rPr/>
        <w:t>Vyjma případů uvedených v čl. 12, odst. 1, 2 a 3 a v čl. 13, odst. 2 této smlouvy sjednávají smluvní strany možnost zrušení této smlouvy zaplacením odstupného druhé smluvní straně ve výši 100.000,- Kč.</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13</w:t>
      </w:r>
    </w:p>
    <w:p>
      <w:pPr>
        <w:pStyle w:val="Normal"/>
        <w:tabs>
          <w:tab w:val="clear" w:pos="709"/>
          <w:tab w:val="left" w:pos="426" w:leader="none"/>
          <w:tab w:val="left" w:pos="851" w:leader="none"/>
          <w:tab w:val="left" w:pos="1134" w:leader="none"/>
        </w:tabs>
        <w:jc w:val="center"/>
        <w:rPr/>
      </w:pPr>
      <w:r>
        <w:rPr>
          <w:rFonts w:cs="Arial"/>
          <w:b/>
        </w:rPr>
        <w:t>Vyšší moc</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6"/>
        </w:numPr>
        <w:tabs>
          <w:tab w:val="clear" w:pos="709"/>
          <w:tab w:val="left" w:pos="426" w:leader="none"/>
          <w:tab w:val="left" w:pos="851" w:leader="none"/>
          <w:tab w:val="left" w:pos="1134" w:leader="none"/>
        </w:tabs>
        <w:ind w:start="426" w:hanging="426"/>
        <w:jc w:val="both"/>
        <w:rPr/>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6"/>
        </w:numPr>
        <w:tabs>
          <w:tab w:val="clear" w:pos="709"/>
          <w:tab w:val="left" w:pos="426" w:leader="none"/>
          <w:tab w:val="left" w:pos="851" w:leader="none"/>
          <w:tab w:val="left" w:pos="1134" w:leader="none"/>
        </w:tabs>
        <w:ind w:start="426" w:hanging="426"/>
        <w:jc w:val="both"/>
        <w:rPr/>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14</w:t>
      </w:r>
    </w:p>
    <w:p>
      <w:pPr>
        <w:pStyle w:val="Normal"/>
        <w:tabs>
          <w:tab w:val="clear" w:pos="709"/>
          <w:tab w:val="left" w:pos="426" w:leader="none"/>
          <w:tab w:val="left" w:pos="851" w:leader="none"/>
          <w:tab w:val="left" w:pos="1134" w:leader="none"/>
        </w:tabs>
        <w:jc w:val="center"/>
        <w:rPr/>
      </w:pPr>
      <w:r>
        <w:rPr>
          <w:rFonts w:cs="Arial"/>
          <w:b/>
        </w:rPr>
        <w:t>Doba trvání smlouvy a změna závazku</w:t>
      </w:r>
    </w:p>
    <w:p>
      <w:pPr>
        <w:pStyle w:val="Normal"/>
        <w:tabs>
          <w:tab w:val="clear" w:pos="709"/>
          <w:tab w:val="left" w:pos="426" w:leader="none"/>
          <w:tab w:val="left" w:pos="851" w:leader="none"/>
          <w:tab w:val="left" w:pos="1134" w:leader="none"/>
        </w:tabs>
        <w:jc w:val="both"/>
        <w:rPr/>
      </w:pPr>
      <w:r>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Tato smlouva se uzavírá na dobu určitou, a to do ukončení realizace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 xml:space="preserve">Tuto smlouvu lze měnit a doplňovat pouze písemnými, vzestupně číslovanými dodatky podepsanými oběma smluvními stranami. </w:t>
      </w:r>
    </w:p>
    <w:p>
      <w:pPr>
        <w:pStyle w:val="Normal"/>
        <w:tabs>
          <w:tab w:val="clear" w:pos="709"/>
          <w:tab w:val="left" w:pos="426" w:leader="none"/>
          <w:tab w:val="left" w:pos="851" w:leader="none"/>
          <w:tab w:val="left" w:pos="1134" w:leader="none"/>
        </w:tabs>
        <w:jc w:val="both"/>
        <w:rPr/>
      </w:pPr>
      <w:r>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15</w:t>
      </w:r>
    </w:p>
    <w:p>
      <w:pPr>
        <w:pStyle w:val="Normal"/>
        <w:tabs>
          <w:tab w:val="clear" w:pos="709"/>
          <w:tab w:val="left" w:pos="426" w:leader="none"/>
          <w:tab w:val="left" w:pos="851" w:leader="none"/>
          <w:tab w:val="left" w:pos="1134" w:leader="none"/>
        </w:tabs>
        <w:jc w:val="center"/>
        <w:rPr/>
      </w:pPr>
      <w:r>
        <w:rPr>
          <w:rFonts w:cs="Arial"/>
          <w:b/>
        </w:rPr>
        <w:t>Ostatní ujednání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7"/>
        </w:numPr>
        <w:tabs>
          <w:tab w:val="clear" w:pos="709"/>
          <w:tab w:val="left" w:pos="426" w:leader="none"/>
        </w:tabs>
        <w:ind w:start="426" w:hanging="426"/>
        <w:jc w:val="both"/>
        <w:rPr/>
      </w:pPr>
      <w:r>
        <w:rP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15 dnů od podpisu této smlouvy, pokud jej o to objednatel požádá. Náklady na pojištění nese zhotovitel a má je zahrnuty ve sjednané ceně celku dle této smlouvy.</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Pokud zhotovitel provádí část díla pomocí třetí osoby, tak za práci všech svých podzhotovitelů ručí zhotovitel v plném rozsahu tak, jako by je prováděl sám.</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Technický dozor stavebníka nesmí provádět zhotovitel ani osoba s ním propojená.</w:t>
      </w:r>
    </w:p>
    <w:p>
      <w:pPr>
        <w:pStyle w:val="Normal"/>
        <w:jc w:val="both"/>
        <w:rPr/>
      </w:pPr>
      <w:r>
        <w:rPr/>
      </w:r>
    </w:p>
    <w:p>
      <w:pPr>
        <w:pStyle w:val="Normal"/>
        <w:numPr>
          <w:ilvl w:val="0"/>
          <w:numId w:val="27"/>
        </w:numPr>
        <w:tabs>
          <w:tab w:val="clear" w:pos="709"/>
          <w:tab w:val="left" w:pos="426" w:leader="none"/>
        </w:tabs>
        <w:ind w:start="426" w:hanging="426"/>
        <w:jc w:val="both"/>
        <w:rPr/>
      </w:pPr>
      <w:r>
        <w:rPr/>
        <w:t>Objednatel je povinen jmenovat koordinátora bezpečnosti a ochrany zdraví při práci na staveništi pokud to vyplývá ze zvláštních právních předpisů.</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V případě rozporu mezi touto smlouvou a projektovou dokumentací mají přednost ustanovení sjednaná v této smlouvě.</w:t>
      </w:r>
    </w:p>
    <w:p>
      <w:pPr>
        <w:pStyle w:val="Normal"/>
        <w:rPr/>
      </w:pPr>
      <w:r>
        <w:rPr/>
      </w:r>
    </w:p>
    <w:p>
      <w:pPr>
        <w:pStyle w:val="Normal"/>
        <w:numPr>
          <w:ilvl w:val="0"/>
          <w:numId w:val="27"/>
        </w:numPr>
        <w:tabs>
          <w:tab w:val="clear" w:pos="709"/>
          <w:tab w:val="left" w:pos="426" w:leader="none"/>
        </w:tabs>
        <w:ind w:start="426" w:hanging="426"/>
        <w:jc w:val="both"/>
        <w:rPr/>
      </w:pPr>
      <w:r>
        <w:rPr/>
        <w:t>Zhotovitel je povinen uchovávat veškerou dokumentaci a doklady týkající se této stavby (tj. zejména originál smlouvy vč. jejích případných dodatků a jejich příloh, veškeré originály dokladů a originály projektové dokumentace a dalších dokumentů souvisejících s realizací stavby) po dobu nejméně 10 let od jejího dokončení.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16</w:t>
      </w:r>
    </w:p>
    <w:p>
      <w:pPr>
        <w:pStyle w:val="Normal"/>
        <w:tabs>
          <w:tab w:val="clear" w:pos="709"/>
          <w:tab w:val="left" w:pos="426" w:leader="none"/>
          <w:tab w:val="left" w:pos="851" w:leader="none"/>
          <w:tab w:val="left" w:pos="1134" w:leader="none"/>
        </w:tabs>
        <w:jc w:val="center"/>
        <w:rPr/>
      </w:pPr>
      <w:r>
        <w:rPr>
          <w:rFonts w:cs="Arial"/>
          <w:b/>
        </w:rPr>
        <w:t>Závěrečná ustanovení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Nestanoví-li tato smlouva jinak, řídí se práva a povinnosti smluvních stran příslušnými ustanoveními občanského zákoníku.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Jakákoli změna smluvních stran zúčastněných na této smlouvě podléhá schválení druhou smluvní stranou.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V případě, že některé ustanovení této smlouvy bude neplatné, nemá tato skutečnost vliv na platnost ostatních ujednání.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t xml:space="preserve">Zhotovitel bere na vědomí, že objednatel bude v průběhu realizace díla dle této smlouvy pořizovat fotodokumentaci tohoto díla (stavby), včetně videozáznamů, a to zejména za účelem doložení dodržení podmínek provedení díla, doložení dodržení podmínek finanční podpory, apod. </w:t>
      </w:r>
    </w:p>
    <w:p>
      <w:pPr>
        <w:pStyle w:val="ListParagrap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Objednateli svědčí zákonné zmocnění (zák. č. 89/2012 Sb., občanský zákoník, zák. č. 128/2000 Sb., o obcích) ke shromažďování, nakládání a zpracování osobních údajů v souvislosti s uzavřením této smlouvy.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Zhotovitel výslovně souhlasí se zveřejněním celého textu smlouvy v informačním systému veřejné správy –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Smluvní strany se dohodly, že stranou povinnou k uveřejnění této smlouvy v centrálním registru smluv podle zákona </w:t>
      </w:r>
      <w:r>
        <w:rPr>
          <w:rStyle w:val="Strong"/>
          <w:rFonts w:cs="Arial"/>
          <w:b w:val="false"/>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Smluvní strany shodně prohlašují, že žádné ustanovení v této smlouvě nemá charakter obchodního tajemství, jež by požívalo zvláštní ochrany.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Obě smluvní strany prohlašují, že došlo k dohodě o celém rozsahu této smlouvy o dílo.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commentRangeStart w:id="4"/>
      <w:r>
        <w:rPr>
          <w:rFonts w:cs="Arial"/>
        </w:rPr>
        <w:t>Tato smlouva byla sepsána ve čtyřech vyhotoveních s platností originálu,  objednatel obdrží tři vyhotovení a zhotovitel jedno vyhotovení této smlouvy. Toto ujednání platí i pro všechny návrhy změn a dodatky k této smlouvě. / Tato smlouva byla podepsána v elektronické podobě.</w:t>
      </w:r>
      <w:commentRangeEnd w:id="4"/>
      <w:r>
        <w:commentReference w:id="4"/>
      </w:r>
      <w:r>
        <w:rPr>
          <w:rFonts w:cs="Arial"/>
        </w:rPr>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Tato smlouva byla projednána na schůzi Rady města Nové Město na Moravě č. </w:t>
      </w:r>
      <w:r>
        <w:rPr>
          <w:rFonts w:cs="Arial"/>
        </w:rPr>
        <w:t>50</w:t>
      </w:r>
      <w:r>
        <w:rPr>
          <w:rFonts w:cs="Arial"/>
        </w:rPr>
        <w:t xml:space="preserve"> konané dne </w:t>
      </w:r>
      <w:r>
        <w:rPr>
          <w:rFonts w:cs="Arial"/>
        </w:rPr>
        <w:t>8.9.</w:t>
      </w:r>
      <w:r>
        <w:rPr>
          <w:rFonts w:cs="Arial"/>
        </w:rPr>
        <w:t xml:space="preserve">2025 a schválena usnesením přijatým pod bodem č. </w:t>
      </w:r>
      <w:r>
        <w:rPr>
          <w:rFonts w:cs="Arial"/>
        </w:rPr>
        <w:t>34</w:t>
      </w:r>
      <w:r>
        <w:rPr>
          <w:rFonts w:cs="Arial"/>
        </w:rPr>
        <w:t>/</w:t>
      </w:r>
      <w:r>
        <w:rPr>
          <w:rFonts w:cs="Arial"/>
        </w:rPr>
        <w:t>50</w:t>
      </w:r>
      <w:r>
        <w:rPr>
          <w:rFonts w:cs="Arial"/>
        </w:rPr>
        <w:t>/RM/2025.</w:t>
      </w:r>
    </w:p>
    <w:p>
      <w:pPr>
        <w:pStyle w:val="Normal"/>
        <w:tabs>
          <w:tab w:val="clear" w:pos="709"/>
          <w:tab w:val="left" w:pos="426" w:leader="none"/>
          <w:tab w:val="left" w:pos="851" w:leader="none"/>
          <w:tab w:val="left" w:pos="1134" w:leader="none"/>
        </w:tabs>
        <w:jc w:val="both"/>
        <w:rPr>
          <w:rFonts w:cs="Arial"/>
        </w:rPr>
      </w:pPr>
      <w:r>
        <w:rPr>
          <w:rFonts w:cs="Arial"/>
        </w:rPr>
        <w:t xml:space="preserve">                                                                                         </w:t>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Nedílnou součástí smlouvy je:</w:t>
      </w:r>
    </w:p>
    <w:p>
      <w:pPr>
        <w:pStyle w:val="Normal"/>
        <w:tabs>
          <w:tab w:val="clear" w:pos="709"/>
          <w:tab w:val="left" w:pos="426" w:leader="none"/>
          <w:tab w:val="left" w:pos="851" w:leader="none"/>
          <w:tab w:val="left" w:pos="1134" w:leader="none"/>
        </w:tabs>
        <w:jc w:val="both"/>
        <w:rPr/>
      </w:pPr>
      <w:r>
        <w:rPr>
          <w:rFonts w:eastAsia="Arial" w:cs="Arial"/>
        </w:rPr>
        <w:t xml:space="preserve">             </w:t>
      </w:r>
      <w:r>
        <w:rPr>
          <w:rFonts w:cs="Arial"/>
        </w:rPr>
        <w:t>Příloha č. 1 – Nabídkový položkový rozpočet zhotovitele</w:t>
      </w:r>
    </w:p>
    <w:p>
      <w:pPr>
        <w:pStyle w:val="Normal"/>
        <w:tabs>
          <w:tab w:val="clear" w:pos="709"/>
          <w:tab w:val="left" w:pos="426" w:leader="none"/>
          <w:tab w:val="left" w:pos="851" w:leader="none"/>
          <w:tab w:val="left" w:pos="1134" w:leader="none"/>
        </w:tabs>
        <w:ind w:start="426" w:hanging="0"/>
        <w:jc w:val="both"/>
        <w:rPr/>
      </w:pPr>
      <w:r>
        <w:rPr/>
      </w:r>
    </w:p>
    <w:p>
      <w:pPr>
        <w:pStyle w:val="Normal"/>
        <w:tabs>
          <w:tab w:val="clear" w:pos="709"/>
          <w:tab w:val="left" w:pos="426" w:leader="none"/>
          <w:tab w:val="left" w:pos="851" w:leader="none"/>
          <w:tab w:val="left" w:pos="1134" w:leader="none"/>
        </w:tabs>
        <w:ind w:start="426" w:hanging="426"/>
        <w:jc w:val="both"/>
        <w:rPr>
          <w:rFonts w:cs="Arial"/>
        </w:rPr>
      </w:pPr>
      <w:ins w:id="0" w:author="Neznámý autor" w:date="2025-09-12T11:50:07Z">
        <w:r>
          <w:rPr>
            <w:rFonts w:cs="Arial"/>
          </w:rPr>
          <w:t xml:space="preserve">                                                               </w:t>
        </w:r>
      </w:ins>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Smluvní strany prohlašují, že si tuto smlouvu přečetly, že tato byla sepsána na základě jejich pravé a svobodné vůle, nikoli v tísni ani za nápadně nevýhodných podmínek, a na důkaz toho připojují své podpisy.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5103" w:leader="none"/>
        </w:tabs>
        <w:jc w:val="both"/>
        <w:rPr>
          <w:rFonts w:cs="Arial"/>
        </w:rPr>
      </w:pPr>
      <w:r>
        <w:rPr>
          <w:rFonts w:cs="Arial"/>
        </w:rPr>
        <w:t>V Novém Městě na Moravě ………………</w:t>
        <w:tab/>
        <w:t xml:space="preserve">V ………………..…….   </w:t>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cs="Arial"/>
        </w:rPr>
        <w:t>Dne………………                                                        Dne ………………</w:t>
      </w:r>
    </w:p>
    <w:p>
      <w:pPr>
        <w:pStyle w:val="Normal"/>
        <w:tabs>
          <w:tab w:val="clear" w:pos="709"/>
          <w:tab w:val="left" w:pos="5103" w:leader="none"/>
        </w:tabs>
        <w:jc w:val="both"/>
        <w:rPr/>
      </w:pPr>
      <w:r>
        <w:rPr/>
      </w:r>
      <w:bookmarkStart w:id="1" w:name="_GoBack"/>
      <w:bookmarkStart w:id="2" w:name="_GoBack"/>
      <w:bookmarkEnd w:id="2"/>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cs="Arial"/>
          <w:bCs/>
        </w:rPr>
        <w:t>Za objednatele</w:t>
      </w:r>
      <w:r>
        <w:rPr>
          <w:rFonts w:cs="Arial"/>
        </w:rPr>
        <w:t xml:space="preserve">: </w:t>
        <w:tab/>
        <w:t xml:space="preserve">Za zhotovitele:                                                             </w:t>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eastAsia="Arial" w:cs="Arial"/>
        </w:rPr>
        <w:t xml:space="preserve">……………………………………… </w:t>
      </w:r>
      <w:r>
        <w:rPr>
          <w:rFonts w:cs="Arial"/>
        </w:rPr>
        <w:tab/>
        <w:t>………………………………………</w:t>
      </w:r>
    </w:p>
    <w:p>
      <w:pPr>
        <w:pStyle w:val="Normal"/>
        <w:tabs>
          <w:tab w:val="clear" w:pos="709"/>
          <w:tab w:val="center" w:pos="1701" w:leader="none"/>
          <w:tab w:val="center" w:pos="6804" w:leader="none"/>
        </w:tabs>
        <w:jc w:val="both"/>
        <w:rPr/>
      </w:pPr>
      <w:r>
        <w:rPr>
          <w:rFonts w:cs="Arial"/>
        </w:rPr>
        <w:t xml:space="preserve">      </w:t>
      </w:r>
      <w:r>
        <w:rPr>
          <w:rFonts w:cs="Arial"/>
        </w:rPr>
        <w:t xml:space="preserve">Bc. Jaroslav Lempera </w:t>
        <w:tab/>
      </w:r>
    </w:p>
    <w:p>
      <w:pPr>
        <w:pStyle w:val="Normal"/>
        <w:tabs>
          <w:tab w:val="clear" w:pos="709"/>
          <w:tab w:val="center" w:pos="1701" w:leader="none"/>
          <w:tab w:val="center" w:pos="6804" w:leader="none"/>
        </w:tabs>
        <w:jc w:val="both"/>
        <w:rPr/>
      </w:pPr>
      <w:r>
        <w:rPr>
          <w:rFonts w:cs="Arial"/>
        </w:rPr>
        <w:t xml:space="preserve">      </w:t>
      </w:r>
      <w:r>
        <w:rPr>
          <w:rFonts w:cs="Arial"/>
        </w:rPr>
        <w:t>místostarosta</w:t>
        <w:tab/>
        <w:t xml:space="preserve">                                </w:t>
      </w:r>
    </w:p>
    <w:p>
      <w:pPr>
        <w:pStyle w:val="Normal"/>
        <w:tabs>
          <w:tab w:val="clear" w:pos="709"/>
          <w:tab w:val="center" w:pos="1701" w:leader="none"/>
          <w:tab w:val="center" w:pos="6804" w:leader="none"/>
        </w:tabs>
        <w:jc w:val="both"/>
        <w:rPr>
          <w:rFonts w:cs="Arial"/>
        </w:rPr>
      </w:pPr>
      <w:r>
        <w:rPr>
          <w:rFonts w:cs="Arial"/>
        </w:rPr>
      </w:r>
    </w:p>
    <w:p>
      <w:pPr>
        <w:pStyle w:val="Normal"/>
        <w:tabs>
          <w:tab w:val="clear" w:pos="709"/>
          <w:tab w:val="center" w:pos="1701" w:leader="none"/>
          <w:tab w:val="center" w:pos="6804" w:leader="none"/>
        </w:tabs>
        <w:jc w:val="both"/>
        <w:rPr/>
      </w:pPr>
      <w:r>
        <w:rPr/>
      </w:r>
    </w:p>
    <w:sectPr>
      <w:footerReference w:type="even" r:id="rId3"/>
      <w:footerReference w:type="default" r:id="rId4"/>
      <w:footerReference w:type="first" r:id="rId5"/>
      <w:type w:val="nextPage"/>
      <w:pgSz w:w="11906" w:h="16838"/>
      <w:pgMar w:left="1134" w:right="1134" w:gutter="0" w:header="0" w:top="1418" w:footer="709" w:bottom="1418"/>
      <w:pgNumType w:fmt="decimal"/>
      <w:formProt w:val="false"/>
      <w:textDirection w:val="lrTb"/>
      <w:docGrid w:type="default" w:linePitch="27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rad5" w:date="2024-07-23T08:55: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1" w:author="urad5" w:date="2024-07-23T08:55: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2" w:author="urad5" w:date="2024-07-23T08:55:00Z" w:initials="u">
    <w:p>
      <w:r>
        <w:rPr>
          <w:rFonts w:ascii="Liberation Serif" w:hAnsi="Liberation Serif" w:eastAsia="Segoe UI" w:cs="Tahoma"/>
          <w:sz w:val="24"/>
          <w:szCs w:val="24"/>
          <w:lang w:val="en-US" w:eastAsia="en-US" w:bidi="en-US"/>
        </w:rPr>
        <w:t>Plátce DPH zde uvede svoji cenu bez DPH.</w:t>
      </w:r>
    </w:p>
    <w:p>
      <w:r>
        <w:rPr>
          <w:rFonts w:ascii="Liberation Serif" w:hAnsi="Liberation Serif" w:eastAsia="Segoe UI" w:cs="Tahoma"/>
          <w:sz w:val="24"/>
          <w:szCs w:val="24"/>
          <w:lang w:val="en-US" w:eastAsia="en-US" w:bidi="en-US"/>
        </w:rPr>
        <w:t>Neplátce DPH zde uvede svoji konečnou cenu a slova „bez DPH“ vymaže.</w:t>
      </w:r>
    </w:p>
    <w:p>
      <w:r>
        <w:rPr>
          <w:rFonts w:ascii="Liberation Serif" w:hAnsi="Liberation Serif" w:eastAsia="Segoe UI" w:cs="Tahoma"/>
          <w:sz w:val="24"/>
          <w:szCs w:val="24"/>
          <w:lang w:val="en-US" w:eastAsia="en-US" w:bidi="en-US"/>
        </w:rPr>
        <w:t>Stejně tak každý ponechá pouze příslušnou část textu „K této ceně … / … není plátcem DPH“ a zbývající část textu vymaže.</w:t>
      </w:r>
    </w:p>
    <w:p>
      <w:r>
        <w:rPr>
          <w:rFonts w:ascii="Liberation Serif" w:hAnsi="Liberation Serif" w:eastAsia="Segoe UI" w:cs="Tahoma"/>
          <w:sz w:val="24"/>
          <w:szCs w:val="24"/>
          <w:lang w:val="en-US" w:eastAsia="en-US" w:bidi="en-US"/>
        </w:rPr>
        <w:t xml:space="preserve">(tento komentář prosím vymažte) </w:t>
      </w:r>
    </w:p>
    <w:p>
      <w:r>
        <w:rPr>
          <w:rFonts w:ascii="Liberation Serif" w:hAnsi="Liberation Serif" w:eastAsia="Segoe UI" w:cs="Tahoma"/>
          <w:sz w:val="24"/>
          <w:szCs w:val="24"/>
          <w:lang w:val="en-US" w:eastAsia="en-US" w:bidi="en-US"/>
        </w:rPr>
      </w:r>
    </w:p>
  </w:comment>
  <w:comment w:id="3" w:author="nmnm" w:date="2024-07-23T08:55:00Z" w:initials="u">
    <w:p>
      <w:r>
        <w:rPr>
          <w:rFonts w:ascii="Liberation Serif" w:hAnsi="Liberation Serif" w:eastAsia="Segoe UI" w:cs="Tahoma"/>
          <w:sz w:val="24"/>
          <w:szCs w:val="24"/>
          <w:lang w:val="en-US" w:eastAsia="en-US" w:bidi="en-US"/>
        </w:rPr>
        <w:t>platí pouze pro plátce DPH – neplátce DPH tento odstavec vymaže</w:t>
      </w:r>
    </w:p>
    <w:p>
      <w:r>
        <w:rPr>
          <w:rFonts w:ascii="Liberation Serif" w:hAnsi="Liberation Serif" w:eastAsia="Segoe UI" w:cs="Tahoma"/>
          <w:sz w:val="24"/>
          <w:szCs w:val="24"/>
          <w:lang w:val="en-US" w:eastAsia="en-US" w:bidi="en-US"/>
        </w:rPr>
        <w:t>(tento komentář prosím vymažte)</w:t>
      </w:r>
    </w:p>
  </w:comment>
  <w:comment w:id="4" w:author="Dvořák Josef" w:date="2025-08-20T14:19:00Z" w:initials="DJ">
    <w:p>
      <w:r>
        <w:rPr>
          <w:rFonts w:ascii="Liberation Serif" w:hAnsi="Liberation Serif" w:eastAsia="Segoe UI" w:cs="Tahoma"/>
          <w:sz w:val="24"/>
          <w:szCs w:val="24"/>
          <w:lang w:val="en-US" w:eastAsia="en-US" w:bidi="en-US"/>
        </w:rPr>
        <w:t>V případě, že smlouva bude podepsána fyzicky, text: „ Tato smlouva byla podepsána v elektronické podobě“ vymazat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roman"/>
    <w:pitch w:val="variable"/>
  </w:font>
  <w:font w:name="Courier New">
    <w:charset w:val="ee" w:characterSet="windows-1250"/>
    <w:family w:val="roman"/>
    <w:pitch w:val="variable"/>
  </w:font>
  <w:font w:name="Wingdings">
    <w:charset w:val="ee" w:characterSet="windows-1250"/>
    <w:family w:val="roman"/>
    <w:pitch w:val="variable"/>
  </w:font>
  <w:font w:name="Symbol">
    <w:charset w:val="ee" w:characterSet="windows-1250"/>
    <w:family w:val="roman"/>
    <w:pitch w:val="variable"/>
  </w:font>
  <w:font w:name="Cambria">
    <w:charset w:val="ee" w:characterSet="windows-1250"/>
    <w:family w:val="roman"/>
    <w:pitch w:val="variable"/>
  </w:font>
  <w:font w:name="Calibri">
    <w:charset w:val="ee" w:characterSet="windows-1250"/>
    <w:family w:val="roman"/>
    <w:pitch w:val="variable"/>
  </w:font>
  <w:font w:name="Stamp">
    <w:charset w:val="ee" w:characterSet="windows-1250"/>
    <w:family w:val="roman"/>
    <w:pitch w:val="variable"/>
  </w:font>
  <w:font w:name="Tahoma">
    <w:charset w:val="ee" w:characterSet="windows-1250"/>
    <w:family w:val="roman"/>
    <w:pitch w:val="variable"/>
  </w:font>
  <w:font w:name="Liberation Serif">
    <w:altName w:val="Times New Roman"/>
    <w:charset w:val="01"/>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1"/>
      <w:tabs>
        <w:tab w:val="clear" w:pos="4536"/>
        <w:tab w:val="clear" w:pos="9072"/>
        <w:tab w:val="right" w:pos="9639" w:leader="none"/>
      </w:tabs>
      <w:jc w:val="both"/>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21</w:t>
    </w:r>
    <w:r>
      <w:rPr>
        <w:rStyle w:val="Pagenumber"/>
        <w:sz w:val="16"/>
        <w:szCs w:val="16"/>
        <w:rFonts w:cs="Arial"/>
      </w:rPr>
      <w:fldChar w:fldCharType="end"/>
    </w:r>
    <w:r>
      <w:rPr>
        <w:rStyle w:val="Pagenumber"/>
        <w:rFonts w:eastAsia="Arial" w:cs="Arial"/>
        <w:sz w:val="16"/>
        <w:szCs w:val="16"/>
      </w:rPr>
      <w:t xml:space="preserve">                                                                             </w:t>
    </w:r>
    <w:r>
      <w:rPr>
        <w:rStyle w:val="Pagenumber"/>
        <w:rFonts w:eastAsia="Arial" w:cs="Arial"/>
        <w:sz w:val="16"/>
        <w:szCs w:val="16"/>
      </w:rPr>
      <w:t>chodník Pohledec – 2. etapa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1"/>
      <w:tabs>
        <w:tab w:val="clear" w:pos="4536"/>
        <w:tab w:val="clear" w:pos="9072"/>
        <w:tab w:val="right" w:pos="9639" w:leader="none"/>
      </w:tabs>
      <w:jc w:val="both"/>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21</w:t>
    </w:r>
    <w:r>
      <w:rPr>
        <w:rStyle w:val="Pagenumber"/>
        <w:sz w:val="16"/>
        <w:szCs w:val="16"/>
        <w:rFonts w:cs="Arial"/>
      </w:rPr>
      <w:fldChar w:fldCharType="end"/>
    </w:r>
    <w:r>
      <w:rPr>
        <w:rStyle w:val="Pagenumber"/>
        <w:rFonts w:eastAsia="Arial" w:cs="Arial"/>
        <w:sz w:val="16"/>
        <w:szCs w:val="16"/>
      </w:rPr>
      <w:t xml:space="preserve">                                                                             </w:t>
    </w:r>
    <w:r>
      <w:rPr>
        <w:rStyle w:val="Pagenumber"/>
        <w:rFonts w:eastAsia="Arial" w:cs="Arial"/>
        <w:sz w:val="16"/>
        <w:szCs w:val="16"/>
      </w:rPr>
      <w:t>chodník Pohledec – 2. etapa</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bullet"/>
      <w:lvlText w:val="-"/>
      <w:lvlJc w:val="start"/>
      <w:pPr>
        <w:tabs>
          <w:tab w:val="num" w:pos="709"/>
        </w:tabs>
        <w:ind w:start="360" w:hanging="360"/>
      </w:pPr>
      <w:rPr>
        <w:rFonts w:ascii="Liberation Serif" w:hAnsi="Liberation Serif" w:cs="Liberation Serif"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360"/>
      </w:pPr>
      <w:rPr>
        <w:sz w:val="22"/>
        <w:szCs w:val="22"/>
        <w:rFonts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0"/>
        </w:tabs>
        <w:ind w:start="1495" w:hanging="360"/>
      </w:pPr>
      <w:rPr>
        <w:sz w:val="22"/>
        <w:b w:val="false"/>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720" w:hanging="360"/>
      </w:pPr>
      <w:rPr>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720" w:hanging="360"/>
      </w:pPr>
      <w:rPr>
        <w:sz w:val="22"/>
        <w:b w:val="false"/>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bullet"/>
      <w:lvlText w:val="-"/>
      <w:lvlJc w:val="start"/>
      <w:pPr>
        <w:tabs>
          <w:tab w:val="num" w:pos="0"/>
        </w:tabs>
        <w:ind w:start="720" w:hanging="360"/>
      </w:pPr>
      <w:rPr>
        <w:rFonts w:ascii="Liberation Serif" w:hAnsi="Liberation Serif" w:cs="Liberation Serif"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720" w:hanging="360"/>
      </w:pPr>
      <w:rPr>
        <w:sz w:val="22"/>
        <w:szCs w:val="22"/>
        <w:rFonts w:eastAsia="Arial" w:cs="Times New Roman"/>
      </w:rPr>
    </w:lvl>
    <w:lvl w:ilvl="1">
      <w:start w:val="1"/>
      <w:numFmt w:val="lowerLetter"/>
      <w:lvlText w:val="%2)"/>
      <w:lvlJc w:val="start"/>
      <w:pPr>
        <w:tabs>
          <w:tab w:val="num" w:pos="1440"/>
        </w:tabs>
        <w:ind w:start="1440" w:hanging="360"/>
      </w:pPr>
      <w:rPr>
        <w:sz w:val="22"/>
        <w:szCs w:val="22"/>
        <w:rFonts w:cs="Arial"/>
      </w:rPr>
    </w:lvl>
    <w:lvl w:ilvl="2">
      <w:start w:val="1"/>
      <w:numFmt w:val="lowerRoman"/>
      <w:lvlText w:val="%3."/>
      <w:lvlJc w:val="end"/>
      <w:pPr>
        <w:tabs>
          <w:tab w:val="num" w:pos="0"/>
        </w:tabs>
        <w:ind w:start="2160" w:hanging="180"/>
      </w:pPr>
      <w:rPr>
        <w:sz w:val="22"/>
        <w:szCs w:val="22"/>
        <w:rFonts w:eastAsia="Arial" w:cs="Times New Roman"/>
      </w:rPr>
    </w:lvl>
    <w:lvl w:ilvl="3">
      <w:start w:val="1"/>
      <w:numFmt w:val="decimal"/>
      <w:lvlText w:val="%4."/>
      <w:lvlJc w:val="start"/>
      <w:pPr>
        <w:tabs>
          <w:tab w:val="num" w:pos="0"/>
        </w:tabs>
        <w:ind w:start="2880" w:hanging="360"/>
      </w:pPr>
      <w:rPr>
        <w:sz w:val="22"/>
        <w:szCs w:val="22"/>
        <w:rFonts w:eastAsia="Arial" w:cs="Times New Roman"/>
      </w:rPr>
    </w:lvl>
    <w:lvl w:ilvl="4">
      <w:start w:val="1"/>
      <w:numFmt w:val="lowerLetter"/>
      <w:lvlText w:val="%5."/>
      <w:lvlJc w:val="start"/>
      <w:pPr>
        <w:tabs>
          <w:tab w:val="num" w:pos="0"/>
        </w:tabs>
        <w:ind w:start="3600" w:hanging="360"/>
      </w:pPr>
      <w:rPr>
        <w:sz w:val="22"/>
        <w:szCs w:val="22"/>
        <w:rFonts w:eastAsia="Arial" w:cs="Times New Roman"/>
      </w:rPr>
    </w:lvl>
    <w:lvl w:ilvl="5">
      <w:start w:val="1"/>
      <w:numFmt w:val="lowerRoman"/>
      <w:lvlText w:val="%6."/>
      <w:lvlJc w:val="end"/>
      <w:pPr>
        <w:tabs>
          <w:tab w:val="num" w:pos="0"/>
        </w:tabs>
        <w:ind w:start="4320" w:hanging="180"/>
      </w:pPr>
      <w:rPr>
        <w:sz w:val="22"/>
        <w:szCs w:val="22"/>
        <w:rFonts w:eastAsia="Arial" w:cs="Times New Roman"/>
      </w:rPr>
    </w:lvl>
    <w:lvl w:ilvl="6">
      <w:start w:val="1"/>
      <w:numFmt w:val="decimal"/>
      <w:lvlText w:val="%7."/>
      <w:lvlJc w:val="start"/>
      <w:pPr>
        <w:tabs>
          <w:tab w:val="num" w:pos="0"/>
        </w:tabs>
        <w:ind w:start="5040" w:hanging="360"/>
      </w:pPr>
      <w:rPr>
        <w:sz w:val="22"/>
        <w:szCs w:val="22"/>
        <w:rFonts w:eastAsia="Arial" w:cs="Times New Roman"/>
      </w:rPr>
    </w:lvl>
    <w:lvl w:ilvl="7">
      <w:start w:val="1"/>
      <w:numFmt w:val="lowerLetter"/>
      <w:lvlText w:val="%8."/>
      <w:lvlJc w:val="start"/>
      <w:pPr>
        <w:tabs>
          <w:tab w:val="num" w:pos="0"/>
        </w:tabs>
        <w:ind w:start="5760" w:hanging="360"/>
      </w:pPr>
      <w:rPr>
        <w:sz w:val="22"/>
        <w:szCs w:val="22"/>
        <w:rFonts w:eastAsia="Arial" w:cs="Times New Roman"/>
      </w:rPr>
    </w:lvl>
    <w:lvl w:ilvl="8">
      <w:start w:val="1"/>
      <w:numFmt w:val="lowerRoman"/>
      <w:lvlText w:val="%9."/>
      <w:lvlJc w:val="end"/>
      <w:pPr>
        <w:tabs>
          <w:tab w:val="num" w:pos="0"/>
        </w:tabs>
        <w:ind w:start="6480" w:hanging="180"/>
      </w:pPr>
      <w:rPr>
        <w:sz w:val="22"/>
        <w:szCs w:val="22"/>
        <w:rFonts w:eastAsia="Arial" w:cs="Times New Roman"/>
      </w:rPr>
    </w:lvl>
  </w:abstractNum>
  <w:abstractNum w:abstractNumId="12">
    <w:lvl w:ilvl="0">
      <w:start w:val="1"/>
      <w:numFmt w:val="lowerLetter"/>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644"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Letter"/>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Letter"/>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0"/>
        </w:tabs>
        <w:ind w:start="720" w:hanging="360"/>
      </w:pPr>
      <w:rPr>
        <w:sz w:val="22"/>
        <w:szCs w:val="22"/>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23">
    <w:lvl w:ilvl="0">
      <w:start w:val="2"/>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4"/>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6">
    <w:lvl w:ilvl="0">
      <w:start w:val="1"/>
      <w:numFmt w:val="lowerLetter"/>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7">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8">
    <w:lvl w:ilvl="0">
      <w:start w:val="1"/>
      <w:numFmt w:val="bullet"/>
      <w:lvlText w:val="-"/>
      <w:lvlJc w:val="start"/>
      <w:pPr>
        <w:tabs>
          <w:tab w:val="num" w:pos="786"/>
        </w:tabs>
        <w:ind w:start="786" w:hanging="360"/>
      </w:pPr>
      <w:rPr>
        <w:rFonts w:ascii="Arial" w:hAnsi="Arial" w:cs="Arial" w:hint="default"/>
      </w:rPr>
    </w:lvl>
    <w:lvl w:ilvl="1">
      <w:start w:val="1"/>
      <w:numFmt w:val="bullet"/>
      <w:lvlText w:val="o"/>
      <w:lvlJc w:val="start"/>
      <w:pPr>
        <w:tabs>
          <w:tab w:val="num" w:pos="1506"/>
        </w:tabs>
        <w:ind w:start="1506" w:hanging="360"/>
      </w:pPr>
      <w:rPr>
        <w:rFonts w:ascii="Courier New" w:hAnsi="Courier New" w:cs="Courier New" w:hint="default"/>
      </w:rPr>
    </w:lvl>
    <w:lvl w:ilvl="2">
      <w:start w:val="1"/>
      <w:numFmt w:val="bullet"/>
      <w:lvlText w:val=""/>
      <w:lvlJc w:val="start"/>
      <w:pPr>
        <w:tabs>
          <w:tab w:val="num" w:pos="2226"/>
        </w:tabs>
        <w:ind w:start="2226" w:hanging="360"/>
      </w:pPr>
      <w:rPr>
        <w:rFonts w:ascii="Wingdings" w:hAnsi="Wingdings" w:cs="Wingdings" w:hint="default"/>
      </w:rPr>
    </w:lvl>
    <w:lvl w:ilvl="3">
      <w:start w:val="1"/>
      <w:numFmt w:val="bullet"/>
      <w:lvlText w:val=""/>
      <w:lvlJc w:val="start"/>
      <w:pPr>
        <w:tabs>
          <w:tab w:val="num" w:pos="2946"/>
        </w:tabs>
        <w:ind w:start="2946" w:hanging="360"/>
      </w:pPr>
      <w:rPr>
        <w:rFonts w:ascii="Symbol" w:hAnsi="Symbol" w:cs="Symbol" w:hint="default"/>
      </w:rPr>
    </w:lvl>
    <w:lvl w:ilvl="4">
      <w:start w:val="1"/>
      <w:numFmt w:val="bullet"/>
      <w:lvlText w:val="o"/>
      <w:lvlJc w:val="start"/>
      <w:pPr>
        <w:tabs>
          <w:tab w:val="num" w:pos="3666"/>
        </w:tabs>
        <w:ind w:start="3666" w:hanging="360"/>
      </w:pPr>
      <w:rPr>
        <w:rFonts w:ascii="Courier New" w:hAnsi="Courier New" w:cs="Courier New" w:hint="default"/>
      </w:rPr>
    </w:lvl>
    <w:lvl w:ilvl="5">
      <w:start w:val="1"/>
      <w:numFmt w:val="bullet"/>
      <w:lvlText w:val=""/>
      <w:lvlJc w:val="start"/>
      <w:pPr>
        <w:tabs>
          <w:tab w:val="num" w:pos="4386"/>
        </w:tabs>
        <w:ind w:start="4386" w:hanging="360"/>
      </w:pPr>
      <w:rPr>
        <w:rFonts w:ascii="Wingdings" w:hAnsi="Wingdings" w:cs="Wingdings" w:hint="default"/>
      </w:rPr>
    </w:lvl>
    <w:lvl w:ilvl="6">
      <w:start w:val="1"/>
      <w:numFmt w:val="bullet"/>
      <w:lvlText w:val=""/>
      <w:lvlJc w:val="start"/>
      <w:pPr>
        <w:tabs>
          <w:tab w:val="num" w:pos="5106"/>
        </w:tabs>
        <w:ind w:start="5106" w:hanging="360"/>
      </w:pPr>
      <w:rPr>
        <w:rFonts w:ascii="Symbol" w:hAnsi="Symbol" w:cs="Symbol" w:hint="default"/>
      </w:rPr>
    </w:lvl>
    <w:lvl w:ilvl="7">
      <w:start w:val="1"/>
      <w:numFmt w:val="bullet"/>
      <w:lvlText w:val="o"/>
      <w:lvlJc w:val="start"/>
      <w:pPr>
        <w:tabs>
          <w:tab w:val="num" w:pos="5826"/>
        </w:tabs>
        <w:ind w:start="5826" w:hanging="360"/>
      </w:pPr>
      <w:rPr>
        <w:rFonts w:ascii="Courier New" w:hAnsi="Courier New" w:cs="Courier New" w:hint="default"/>
      </w:rPr>
    </w:lvl>
    <w:lvl w:ilvl="8">
      <w:start w:val="1"/>
      <w:numFmt w:val="bullet"/>
      <w:lvlText w:val=""/>
      <w:lvlJc w:val="start"/>
      <w:pPr>
        <w:tabs>
          <w:tab w:val="num" w:pos="6546"/>
        </w:tabs>
        <w:ind w:start="6546" w:hanging="360"/>
      </w:pPr>
      <w:rPr>
        <w:rFonts w:ascii="Wingdings" w:hAnsi="Wingdings" w:cs="Wingdings" w:hint="default"/>
      </w:rPr>
    </w:lvl>
  </w:abstractNum>
  <w:abstractNum w:abstractNumId="29">
    <w:lvl w:ilvl="0">
      <w:start w:val="1"/>
      <w:numFmt w:val="lowerLetter"/>
      <w:lvlText w:val="%1)"/>
      <w:lvlJc w:val="start"/>
      <w:pPr>
        <w:tabs>
          <w:tab w:val="num" w:pos="780"/>
        </w:tabs>
        <w:ind w:start="780" w:hanging="360"/>
      </w:pPr>
    </w:lvl>
    <w:lvl w:ilvl="1">
      <w:start w:val="1"/>
      <w:numFmt w:val="lowerLetter"/>
      <w:lvlText w:val="%2."/>
      <w:lvlJc w:val="start"/>
      <w:pPr>
        <w:tabs>
          <w:tab w:val="num" w:pos="1500"/>
        </w:tabs>
        <w:ind w:start="1500" w:hanging="360"/>
      </w:pPr>
    </w:lvl>
    <w:lvl w:ilvl="2">
      <w:start w:val="1"/>
      <w:numFmt w:val="lowerRoman"/>
      <w:lvlText w:val="%3."/>
      <w:lvlJc w:val="end"/>
      <w:pPr>
        <w:tabs>
          <w:tab w:val="num" w:pos="2220"/>
        </w:tabs>
        <w:ind w:start="2220" w:hanging="180"/>
      </w:pPr>
    </w:lvl>
    <w:lvl w:ilvl="3">
      <w:start w:val="1"/>
      <w:numFmt w:val="decimal"/>
      <w:lvlText w:val="%4."/>
      <w:lvlJc w:val="start"/>
      <w:pPr>
        <w:tabs>
          <w:tab w:val="num" w:pos="2940"/>
        </w:tabs>
        <w:ind w:start="2940" w:hanging="360"/>
      </w:pPr>
    </w:lvl>
    <w:lvl w:ilvl="4">
      <w:start w:val="1"/>
      <w:numFmt w:val="lowerLetter"/>
      <w:lvlText w:val="%5."/>
      <w:lvlJc w:val="start"/>
      <w:pPr>
        <w:tabs>
          <w:tab w:val="num" w:pos="3660"/>
        </w:tabs>
        <w:ind w:start="3660" w:hanging="360"/>
      </w:pPr>
    </w:lvl>
    <w:lvl w:ilvl="5">
      <w:start w:val="1"/>
      <w:numFmt w:val="lowerRoman"/>
      <w:lvlText w:val="%6."/>
      <w:lvlJc w:val="end"/>
      <w:pPr>
        <w:tabs>
          <w:tab w:val="num" w:pos="4380"/>
        </w:tabs>
        <w:ind w:start="4380" w:hanging="180"/>
      </w:pPr>
    </w:lvl>
    <w:lvl w:ilvl="6">
      <w:start w:val="1"/>
      <w:numFmt w:val="decimal"/>
      <w:lvlText w:val="%7."/>
      <w:lvlJc w:val="start"/>
      <w:pPr>
        <w:tabs>
          <w:tab w:val="num" w:pos="5100"/>
        </w:tabs>
        <w:ind w:start="5100" w:hanging="360"/>
      </w:pPr>
    </w:lvl>
    <w:lvl w:ilvl="7">
      <w:start w:val="1"/>
      <w:numFmt w:val="lowerLetter"/>
      <w:lvlText w:val="%8."/>
      <w:lvlJc w:val="start"/>
      <w:pPr>
        <w:tabs>
          <w:tab w:val="num" w:pos="5820"/>
        </w:tabs>
        <w:ind w:start="5820" w:hanging="360"/>
      </w:pPr>
    </w:lvl>
    <w:lvl w:ilvl="8">
      <w:start w:val="1"/>
      <w:numFmt w:val="lowerRoman"/>
      <w:lvlText w:val="%9."/>
      <w:lvlJc w:val="end"/>
      <w:pPr>
        <w:tabs>
          <w:tab w:val="num" w:pos="6540"/>
        </w:tabs>
        <w:ind w:start="6540" w:hanging="180"/>
      </w:pPr>
    </w:lvl>
  </w:abstractNum>
  <w:abstractNum w:abstractNumId="30">
    <w:lvl w:ilvl="0">
      <w:start w:val="1"/>
      <w:numFmt w:val="lowerLetter"/>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22"/>
      <w:numFmt w:val="decimal"/>
      <w:lvlText w:val="%1."/>
      <w:lvlJc w:val="start"/>
      <w:pPr>
        <w:tabs>
          <w:tab w:val="num" w:pos="720"/>
        </w:tabs>
        <w:ind w:start="624" w:hanging="624"/>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3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30"/>
  <w:revisionView w:insDel="0" w:formatting="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86983"/>
    <w:pPr>
      <w:widowControl/>
      <w:suppressAutoHyphens w:val="true"/>
      <w:bidi w:val="0"/>
      <w:spacing w:before="0" w:after="0"/>
      <w:jc w:val="start"/>
    </w:pPr>
    <w:rPr>
      <w:rFonts w:ascii="Arial" w:hAnsi="Arial" w:eastAsia="Times New Roman" w:cs="Times New Roman"/>
      <w:color w:val="auto"/>
      <w:kern w:val="0"/>
      <w:sz w:val="22"/>
      <w:szCs w:val="22"/>
      <w:lang w:eastAsia="zh-CN" w:val="cs-CZ" w:bidi="ar-SA"/>
    </w:rPr>
  </w:style>
  <w:style w:type="character" w:styleId="DefaultParagraphFont" w:default="1">
    <w:name w:val="Default Paragraph Font"/>
    <w:uiPriority w:val="1"/>
    <w:semiHidden/>
    <w:unhideWhenUsed/>
    <w:qFormat/>
    <w:rPr/>
  </w:style>
  <w:style w:type="character" w:styleId="WW8Num1z0" w:customStyle="1">
    <w:name w:val="WW8Num1z0"/>
    <w:qFormat/>
    <w:rsid w:val="00086983"/>
    <w:rPr/>
  </w:style>
  <w:style w:type="character" w:styleId="WW8Num1z1" w:customStyle="1">
    <w:name w:val="WW8Num1z1"/>
    <w:qFormat/>
    <w:rsid w:val="00086983"/>
    <w:rPr/>
  </w:style>
  <w:style w:type="character" w:styleId="WW8Num1z2" w:customStyle="1">
    <w:name w:val="WW8Num1z2"/>
    <w:qFormat/>
    <w:rsid w:val="00086983"/>
    <w:rPr/>
  </w:style>
  <w:style w:type="character" w:styleId="WW8Num1z3" w:customStyle="1">
    <w:name w:val="WW8Num1z3"/>
    <w:qFormat/>
    <w:rsid w:val="00086983"/>
    <w:rPr/>
  </w:style>
  <w:style w:type="character" w:styleId="WW8Num1z4" w:customStyle="1">
    <w:name w:val="WW8Num1z4"/>
    <w:qFormat/>
    <w:rsid w:val="00086983"/>
    <w:rPr/>
  </w:style>
  <w:style w:type="character" w:styleId="WW8Num1z5" w:customStyle="1">
    <w:name w:val="WW8Num1z5"/>
    <w:qFormat/>
    <w:rsid w:val="00086983"/>
    <w:rPr/>
  </w:style>
  <w:style w:type="character" w:styleId="WW8Num1z6" w:customStyle="1">
    <w:name w:val="WW8Num1z6"/>
    <w:qFormat/>
    <w:rsid w:val="00086983"/>
    <w:rPr/>
  </w:style>
  <w:style w:type="character" w:styleId="WW8Num1z7" w:customStyle="1">
    <w:name w:val="WW8Num1z7"/>
    <w:qFormat/>
    <w:rsid w:val="00086983"/>
    <w:rPr/>
  </w:style>
  <w:style w:type="character" w:styleId="WW8Num1z8" w:customStyle="1">
    <w:name w:val="WW8Num1z8"/>
    <w:qFormat/>
    <w:rsid w:val="00086983"/>
    <w:rPr/>
  </w:style>
  <w:style w:type="character" w:styleId="WW8Num2z0" w:customStyle="1">
    <w:name w:val="WW8Num2z0"/>
    <w:qFormat/>
    <w:rsid w:val="00086983"/>
    <w:rPr>
      <w:rFonts w:ascii="Arial" w:hAnsi="Arial" w:cs="Times New Roman"/>
      <w:sz w:val="22"/>
      <w:szCs w:val="22"/>
    </w:rPr>
  </w:style>
  <w:style w:type="character" w:styleId="WW8Num3z0" w:customStyle="1">
    <w:name w:val="WW8Num3z0"/>
    <w:qFormat/>
    <w:rsid w:val="00086983"/>
    <w:rPr>
      <w:rFonts w:ascii="Liberation Serif" w:hAnsi="Liberation Serif" w:cs="Arial"/>
      <w:sz w:val="22"/>
      <w:szCs w:val="22"/>
    </w:rPr>
  </w:style>
  <w:style w:type="character" w:styleId="WW8Num4z0" w:customStyle="1">
    <w:name w:val="WW8Num4z0"/>
    <w:qFormat/>
    <w:rsid w:val="00086983"/>
    <w:rPr>
      <w:rFonts w:ascii="Arial" w:hAnsi="Arial" w:cs="Arial"/>
      <w:sz w:val="22"/>
      <w:szCs w:val="22"/>
    </w:rPr>
  </w:style>
  <w:style w:type="character" w:styleId="WW8Num5z0" w:customStyle="1">
    <w:name w:val="WW8Num5z0"/>
    <w:qFormat/>
    <w:rsid w:val="00086983"/>
    <w:rPr>
      <w:rFonts w:ascii="Arial" w:hAnsi="Arial" w:cs="Times New Roman"/>
      <w:sz w:val="22"/>
      <w:szCs w:val="22"/>
    </w:rPr>
  </w:style>
  <w:style w:type="character" w:styleId="WW8Num6z0" w:customStyle="1">
    <w:name w:val="WW8Num6z0"/>
    <w:qFormat/>
    <w:rsid w:val="00086983"/>
    <w:rPr>
      <w:rFonts w:ascii="Arial" w:hAnsi="Arial" w:cs="Times New Roman"/>
      <w:b w:val="false"/>
      <w:sz w:val="22"/>
      <w:szCs w:val="22"/>
    </w:rPr>
  </w:style>
  <w:style w:type="character" w:styleId="WW8Num7z0" w:customStyle="1">
    <w:name w:val="WW8Num7z0"/>
    <w:qFormat/>
    <w:rsid w:val="00086983"/>
    <w:rPr>
      <w:rFonts w:cs="Times New Roman"/>
    </w:rPr>
  </w:style>
  <w:style w:type="character" w:styleId="WW8Num8z0" w:customStyle="1">
    <w:name w:val="WW8Num8z0"/>
    <w:qFormat/>
    <w:rsid w:val="00086983"/>
    <w:rPr>
      <w:rFonts w:ascii="Arial" w:hAnsi="Arial" w:cs="Times New Roman"/>
      <w:b w:val="false"/>
      <w:sz w:val="22"/>
      <w:szCs w:val="22"/>
    </w:rPr>
  </w:style>
  <w:style w:type="character" w:styleId="WW8Num9z0" w:customStyle="1">
    <w:name w:val="WW8Num9z0"/>
    <w:qFormat/>
    <w:rsid w:val="00086983"/>
    <w:rPr>
      <w:rFonts w:ascii="Arial" w:hAnsi="Arial" w:cs="Times New Roman"/>
      <w:sz w:val="22"/>
      <w:szCs w:val="22"/>
    </w:rPr>
  </w:style>
  <w:style w:type="character" w:styleId="WW8Num10z0" w:customStyle="1">
    <w:name w:val="WW8Num10z0"/>
    <w:qFormat/>
    <w:rsid w:val="00086983"/>
    <w:rPr>
      <w:rFonts w:ascii="Arial" w:hAnsi="Arial" w:cs="Times New Roman"/>
      <w:sz w:val="22"/>
      <w:szCs w:val="22"/>
    </w:rPr>
  </w:style>
  <w:style w:type="character" w:styleId="WW8Num11z0" w:customStyle="1">
    <w:name w:val="WW8Num11z0"/>
    <w:qFormat/>
    <w:rsid w:val="00086983"/>
    <w:rPr>
      <w:rFonts w:ascii="Arial" w:hAnsi="Arial" w:cs="Times New Roman"/>
      <w:sz w:val="22"/>
      <w:szCs w:val="22"/>
    </w:rPr>
  </w:style>
  <w:style w:type="character" w:styleId="WW8Num12z0" w:customStyle="1">
    <w:name w:val="WW8Num12z0"/>
    <w:qFormat/>
    <w:rsid w:val="00086983"/>
    <w:rPr>
      <w:rFonts w:ascii="Liberation Serif" w:hAnsi="Liberation Serif" w:cs="Arial"/>
      <w:sz w:val="22"/>
      <w:szCs w:val="22"/>
    </w:rPr>
  </w:style>
  <w:style w:type="character" w:styleId="WW8Num13z0" w:customStyle="1">
    <w:name w:val="WW8Num13z0"/>
    <w:qFormat/>
    <w:rsid w:val="00086983"/>
    <w:rPr>
      <w:rFonts w:ascii="Arial" w:hAnsi="Arial" w:eastAsia="Arial" w:cs="Times New Roman"/>
      <w:sz w:val="22"/>
      <w:szCs w:val="22"/>
    </w:rPr>
  </w:style>
  <w:style w:type="character" w:styleId="WW8Num13z1" w:customStyle="1">
    <w:name w:val="WW8Num13z1"/>
    <w:qFormat/>
    <w:rsid w:val="00086983"/>
    <w:rPr>
      <w:rFonts w:ascii="Arial" w:hAnsi="Arial" w:cs="Arial"/>
      <w:sz w:val="22"/>
      <w:szCs w:val="22"/>
    </w:rPr>
  </w:style>
  <w:style w:type="character" w:styleId="WW8Num14z0" w:customStyle="1">
    <w:name w:val="WW8Num14z0"/>
    <w:qFormat/>
    <w:rsid w:val="00086983"/>
    <w:rPr>
      <w:rFonts w:ascii="Arial" w:hAnsi="Arial" w:cs="Times New Roman"/>
      <w:sz w:val="22"/>
      <w:szCs w:val="22"/>
    </w:rPr>
  </w:style>
  <w:style w:type="character" w:styleId="WW8Num15z0" w:customStyle="1">
    <w:name w:val="WW8Num15z0"/>
    <w:qFormat/>
    <w:rsid w:val="00086983"/>
    <w:rPr>
      <w:rFonts w:ascii="Arial" w:hAnsi="Arial" w:cs="Times New Roman"/>
      <w:sz w:val="22"/>
      <w:szCs w:val="22"/>
    </w:rPr>
  </w:style>
  <w:style w:type="character" w:styleId="WW8Num16z0" w:customStyle="1">
    <w:name w:val="WW8Num16z0"/>
    <w:qFormat/>
    <w:rsid w:val="00086983"/>
    <w:rPr>
      <w:rFonts w:ascii="Arial" w:hAnsi="Arial" w:cs="Times New Roman"/>
      <w:sz w:val="22"/>
      <w:szCs w:val="22"/>
    </w:rPr>
  </w:style>
  <w:style w:type="character" w:styleId="WW8Num17z0" w:customStyle="1">
    <w:name w:val="WW8Num17z0"/>
    <w:qFormat/>
    <w:rsid w:val="00086983"/>
    <w:rPr>
      <w:rFonts w:ascii="Arial" w:hAnsi="Arial" w:cs="Times New Roman"/>
      <w:sz w:val="22"/>
      <w:szCs w:val="22"/>
    </w:rPr>
  </w:style>
  <w:style w:type="character" w:styleId="WW8Num18z0" w:customStyle="1">
    <w:name w:val="WW8Num18z0"/>
    <w:qFormat/>
    <w:rsid w:val="00086983"/>
    <w:rPr>
      <w:rFonts w:ascii="Arial" w:hAnsi="Arial" w:cs="Times New Roman"/>
      <w:b/>
      <w:sz w:val="22"/>
      <w:szCs w:val="22"/>
    </w:rPr>
  </w:style>
  <w:style w:type="character" w:styleId="WW8Num18z1" w:customStyle="1">
    <w:name w:val="WW8Num18z1"/>
    <w:qFormat/>
    <w:rsid w:val="00086983"/>
    <w:rPr>
      <w:rFonts w:ascii="Arial" w:hAnsi="Arial" w:cs="Arial"/>
      <w:sz w:val="22"/>
      <w:szCs w:val="22"/>
    </w:rPr>
  </w:style>
  <w:style w:type="character" w:styleId="WW8Num19z0" w:customStyle="1">
    <w:name w:val="WW8Num19z0"/>
    <w:qFormat/>
    <w:rsid w:val="00086983"/>
    <w:rPr>
      <w:rFonts w:ascii="Arial" w:hAnsi="Arial" w:cs="Times New Roman"/>
      <w:sz w:val="22"/>
      <w:szCs w:val="22"/>
    </w:rPr>
  </w:style>
  <w:style w:type="character" w:styleId="WW8Num20z0" w:customStyle="1">
    <w:name w:val="WW8Num20z0"/>
    <w:qFormat/>
    <w:rsid w:val="00086983"/>
    <w:rPr>
      <w:rFonts w:ascii="Arial" w:hAnsi="Arial" w:cs="Times New Roman"/>
      <w:sz w:val="22"/>
      <w:szCs w:val="22"/>
    </w:rPr>
  </w:style>
  <w:style w:type="character" w:styleId="WW8Num21z0" w:customStyle="1">
    <w:name w:val="WW8Num21z0"/>
    <w:qFormat/>
    <w:rsid w:val="00086983"/>
    <w:rPr>
      <w:rFonts w:ascii="Arial" w:hAnsi="Arial" w:cs="Times New Roman"/>
      <w:sz w:val="22"/>
      <w:szCs w:val="22"/>
    </w:rPr>
  </w:style>
  <w:style w:type="character" w:styleId="WW8Num22z0" w:customStyle="1">
    <w:name w:val="WW8Num22z0"/>
    <w:qFormat/>
    <w:rsid w:val="00086983"/>
    <w:rPr>
      <w:rFonts w:ascii="Arial" w:hAnsi="Arial" w:cs="Times New Roman"/>
      <w:sz w:val="22"/>
      <w:szCs w:val="22"/>
    </w:rPr>
  </w:style>
  <w:style w:type="character" w:styleId="WW8Num23z0" w:customStyle="1">
    <w:name w:val="WW8Num23z0"/>
    <w:qFormat/>
    <w:rsid w:val="00086983"/>
    <w:rPr>
      <w:rFonts w:ascii="Arial" w:hAnsi="Arial" w:cs="Times New Roman"/>
      <w:sz w:val="22"/>
      <w:szCs w:val="22"/>
    </w:rPr>
  </w:style>
  <w:style w:type="character" w:styleId="WW8Num24z0" w:customStyle="1">
    <w:name w:val="WW8Num24z0"/>
    <w:qFormat/>
    <w:rsid w:val="00086983"/>
    <w:rPr>
      <w:rFonts w:ascii="Arial" w:hAnsi="Arial" w:cs="Times New Roman"/>
      <w:sz w:val="22"/>
      <w:szCs w:val="22"/>
    </w:rPr>
  </w:style>
  <w:style w:type="character" w:styleId="WW8Num25z0" w:customStyle="1">
    <w:name w:val="WW8Num25z0"/>
    <w:qFormat/>
    <w:rsid w:val="00086983"/>
    <w:rPr>
      <w:rFonts w:ascii="Arial" w:hAnsi="Arial" w:cs="Times New Roman"/>
      <w:sz w:val="22"/>
      <w:szCs w:val="22"/>
    </w:rPr>
  </w:style>
  <w:style w:type="character" w:styleId="WW8Num26z0" w:customStyle="1">
    <w:name w:val="WW8Num26z0"/>
    <w:qFormat/>
    <w:rsid w:val="00086983"/>
    <w:rPr>
      <w:rFonts w:ascii="Arial" w:hAnsi="Arial" w:cs="Times New Roman"/>
      <w:sz w:val="22"/>
      <w:szCs w:val="22"/>
    </w:rPr>
  </w:style>
  <w:style w:type="character" w:styleId="Standardnpsmoodstavce2" w:customStyle="1">
    <w:name w:val="Standardní písmo odstavce2"/>
    <w:qFormat/>
    <w:rsid w:val="00086983"/>
    <w:rPr/>
  </w:style>
  <w:style w:type="character" w:styleId="WW8Num2z1" w:customStyle="1">
    <w:name w:val="WW8Num2z1"/>
    <w:qFormat/>
    <w:rsid w:val="00086983"/>
    <w:rPr>
      <w:rFonts w:cs="Times New Roman"/>
    </w:rPr>
  </w:style>
  <w:style w:type="character" w:styleId="WW8Num3z1" w:customStyle="1">
    <w:name w:val="WW8Num3z1"/>
    <w:qFormat/>
    <w:rsid w:val="00086983"/>
    <w:rPr/>
  </w:style>
  <w:style w:type="character" w:styleId="WW8Num3z2" w:customStyle="1">
    <w:name w:val="WW8Num3z2"/>
    <w:qFormat/>
    <w:rsid w:val="00086983"/>
    <w:rPr/>
  </w:style>
  <w:style w:type="character" w:styleId="WW8Num3z3" w:customStyle="1">
    <w:name w:val="WW8Num3z3"/>
    <w:qFormat/>
    <w:rsid w:val="00086983"/>
    <w:rPr/>
  </w:style>
  <w:style w:type="character" w:styleId="WW8Num3z4" w:customStyle="1">
    <w:name w:val="WW8Num3z4"/>
    <w:qFormat/>
    <w:rsid w:val="00086983"/>
    <w:rPr/>
  </w:style>
  <w:style w:type="character" w:styleId="WW8Num3z5" w:customStyle="1">
    <w:name w:val="WW8Num3z5"/>
    <w:qFormat/>
    <w:rsid w:val="00086983"/>
    <w:rPr/>
  </w:style>
  <w:style w:type="character" w:styleId="WW8Num3z6" w:customStyle="1">
    <w:name w:val="WW8Num3z6"/>
    <w:qFormat/>
    <w:rsid w:val="00086983"/>
    <w:rPr/>
  </w:style>
  <w:style w:type="character" w:styleId="WW8Num3z7" w:customStyle="1">
    <w:name w:val="WW8Num3z7"/>
    <w:qFormat/>
    <w:rsid w:val="00086983"/>
    <w:rPr/>
  </w:style>
  <w:style w:type="character" w:styleId="WW8Num3z8" w:customStyle="1">
    <w:name w:val="WW8Num3z8"/>
    <w:qFormat/>
    <w:rsid w:val="00086983"/>
    <w:rPr/>
  </w:style>
  <w:style w:type="character" w:styleId="WW8Num5z1" w:customStyle="1">
    <w:name w:val="WW8Num5z1"/>
    <w:qFormat/>
    <w:rsid w:val="00086983"/>
    <w:rPr>
      <w:rFonts w:cs="Times New Roman"/>
    </w:rPr>
  </w:style>
  <w:style w:type="character" w:styleId="WW8Num6z1" w:customStyle="1">
    <w:name w:val="WW8Num6z1"/>
    <w:qFormat/>
    <w:rsid w:val="00086983"/>
    <w:rPr>
      <w:rFonts w:ascii="Courier New" w:hAnsi="Courier New" w:cs="Courier New"/>
    </w:rPr>
  </w:style>
  <w:style w:type="character" w:styleId="WW8Num6z2" w:customStyle="1">
    <w:name w:val="WW8Num6z2"/>
    <w:qFormat/>
    <w:rsid w:val="00086983"/>
    <w:rPr>
      <w:rFonts w:ascii="Wingdings" w:hAnsi="Wingdings" w:cs="Wingdings"/>
    </w:rPr>
  </w:style>
  <w:style w:type="character" w:styleId="WW8Num6z3" w:customStyle="1">
    <w:name w:val="WW8Num6z3"/>
    <w:qFormat/>
    <w:rsid w:val="00086983"/>
    <w:rPr>
      <w:rFonts w:ascii="Symbol" w:hAnsi="Symbol" w:cs="Symbol"/>
    </w:rPr>
  </w:style>
  <w:style w:type="character" w:styleId="WW8Num7z1" w:customStyle="1">
    <w:name w:val="WW8Num7z1"/>
    <w:qFormat/>
    <w:rsid w:val="00086983"/>
    <w:rPr>
      <w:rFonts w:cs="Times New Roman"/>
    </w:rPr>
  </w:style>
  <w:style w:type="character" w:styleId="WW8Num10z1" w:customStyle="1">
    <w:name w:val="WW8Num10z1"/>
    <w:qFormat/>
    <w:rsid w:val="00086983"/>
    <w:rPr/>
  </w:style>
  <w:style w:type="character" w:styleId="WW8Num10z2" w:customStyle="1">
    <w:name w:val="WW8Num10z2"/>
    <w:qFormat/>
    <w:rsid w:val="00086983"/>
    <w:rPr/>
  </w:style>
  <w:style w:type="character" w:styleId="WW8Num10z3" w:customStyle="1">
    <w:name w:val="WW8Num10z3"/>
    <w:qFormat/>
    <w:rsid w:val="00086983"/>
    <w:rPr/>
  </w:style>
  <w:style w:type="character" w:styleId="WW8Num10z4" w:customStyle="1">
    <w:name w:val="WW8Num10z4"/>
    <w:qFormat/>
    <w:rsid w:val="00086983"/>
    <w:rPr/>
  </w:style>
  <w:style w:type="character" w:styleId="WW8Num10z5" w:customStyle="1">
    <w:name w:val="WW8Num10z5"/>
    <w:qFormat/>
    <w:rsid w:val="00086983"/>
    <w:rPr/>
  </w:style>
  <w:style w:type="character" w:styleId="WW8Num10z6" w:customStyle="1">
    <w:name w:val="WW8Num10z6"/>
    <w:qFormat/>
    <w:rsid w:val="00086983"/>
    <w:rPr/>
  </w:style>
  <w:style w:type="character" w:styleId="WW8Num10z7" w:customStyle="1">
    <w:name w:val="WW8Num10z7"/>
    <w:qFormat/>
    <w:rsid w:val="00086983"/>
    <w:rPr/>
  </w:style>
  <w:style w:type="character" w:styleId="WW8Num10z8" w:customStyle="1">
    <w:name w:val="WW8Num10z8"/>
    <w:qFormat/>
    <w:rsid w:val="00086983"/>
    <w:rPr/>
  </w:style>
  <w:style w:type="character" w:styleId="WW8Num11z1" w:customStyle="1">
    <w:name w:val="WW8Num11z1"/>
    <w:qFormat/>
    <w:rsid w:val="00086983"/>
    <w:rPr>
      <w:rFonts w:ascii="Times New Roman" w:hAnsi="Times New Roman" w:eastAsia="Times New Roman" w:cs="Times New Roman"/>
    </w:rPr>
  </w:style>
  <w:style w:type="character" w:styleId="WW8Num11z2" w:customStyle="1">
    <w:name w:val="WW8Num11z2"/>
    <w:qFormat/>
    <w:rsid w:val="00086983"/>
    <w:rPr>
      <w:rFonts w:cs="Times New Roman"/>
    </w:rPr>
  </w:style>
  <w:style w:type="character" w:styleId="WW8Num17z1" w:customStyle="1">
    <w:name w:val="WW8Num17z1"/>
    <w:qFormat/>
    <w:rsid w:val="00086983"/>
    <w:rPr>
      <w:rFonts w:cs="Times New Roman"/>
    </w:rPr>
  </w:style>
  <w:style w:type="character" w:styleId="WW8Num19z1" w:customStyle="1">
    <w:name w:val="WW8Num19z1"/>
    <w:qFormat/>
    <w:rsid w:val="00086983"/>
    <w:rPr>
      <w:rFonts w:cs="Times New Roman"/>
    </w:rPr>
  </w:style>
  <w:style w:type="character" w:styleId="WW8Num20z1" w:customStyle="1">
    <w:name w:val="WW8Num20z1"/>
    <w:qFormat/>
    <w:rsid w:val="00086983"/>
    <w:rPr>
      <w:rFonts w:cs="Times New Roman"/>
    </w:rPr>
  </w:style>
  <w:style w:type="character" w:styleId="WW8Num22z1" w:customStyle="1">
    <w:name w:val="WW8Num22z1"/>
    <w:qFormat/>
    <w:rsid w:val="00086983"/>
    <w:rPr>
      <w:rFonts w:cs="Times New Roman"/>
    </w:rPr>
  </w:style>
  <w:style w:type="character" w:styleId="WW8Num24z1" w:customStyle="1">
    <w:name w:val="WW8Num24z1"/>
    <w:qFormat/>
    <w:rsid w:val="00086983"/>
    <w:rPr>
      <w:rFonts w:ascii="Arial" w:hAnsi="Arial" w:cs="Arial"/>
      <w:sz w:val="22"/>
      <w:szCs w:val="22"/>
    </w:rPr>
  </w:style>
  <w:style w:type="character" w:styleId="WW8Num27z0" w:customStyle="1">
    <w:name w:val="WW8Num27z0"/>
    <w:qFormat/>
    <w:rsid w:val="00086983"/>
    <w:rPr>
      <w:rFonts w:ascii="Arial" w:hAnsi="Arial" w:cs="Times New Roman"/>
      <w:sz w:val="22"/>
      <w:szCs w:val="22"/>
    </w:rPr>
  </w:style>
  <w:style w:type="character" w:styleId="WW8Num27z1" w:customStyle="1">
    <w:name w:val="WW8Num27z1"/>
    <w:qFormat/>
    <w:rsid w:val="00086983"/>
    <w:rPr>
      <w:rFonts w:cs="Times New Roman"/>
    </w:rPr>
  </w:style>
  <w:style w:type="character" w:styleId="WW8Num28z0" w:customStyle="1">
    <w:name w:val="WW8Num28z0"/>
    <w:qFormat/>
    <w:rsid w:val="00086983"/>
    <w:rPr>
      <w:rFonts w:ascii="Arial" w:hAnsi="Arial" w:cs="Times New Roman"/>
      <w:sz w:val="22"/>
      <w:szCs w:val="22"/>
    </w:rPr>
  </w:style>
  <w:style w:type="character" w:styleId="WW8Num28z1" w:customStyle="1">
    <w:name w:val="WW8Num28z1"/>
    <w:qFormat/>
    <w:rsid w:val="00086983"/>
    <w:rPr>
      <w:rFonts w:cs="Times New Roman"/>
    </w:rPr>
  </w:style>
  <w:style w:type="character" w:styleId="WW8Num29z0" w:customStyle="1">
    <w:name w:val="WW8Num29z0"/>
    <w:qFormat/>
    <w:rsid w:val="00086983"/>
    <w:rPr>
      <w:rFonts w:ascii="Arial" w:hAnsi="Arial" w:cs="Times New Roman"/>
      <w:sz w:val="22"/>
      <w:szCs w:val="22"/>
    </w:rPr>
  </w:style>
  <w:style w:type="character" w:styleId="WW8Num29z1" w:customStyle="1">
    <w:name w:val="WW8Num29z1"/>
    <w:qFormat/>
    <w:rsid w:val="00086983"/>
    <w:rPr>
      <w:rFonts w:cs="Times New Roman"/>
    </w:rPr>
  </w:style>
  <w:style w:type="character" w:styleId="WW8Num30z0" w:customStyle="1">
    <w:name w:val="WW8Num30z0"/>
    <w:qFormat/>
    <w:rsid w:val="00086983"/>
    <w:rPr>
      <w:rFonts w:ascii="Arial" w:hAnsi="Arial" w:cs="Times New Roman"/>
      <w:sz w:val="22"/>
      <w:szCs w:val="22"/>
    </w:rPr>
  </w:style>
  <w:style w:type="character" w:styleId="WW8Num30z1" w:customStyle="1">
    <w:name w:val="WW8Num30z1"/>
    <w:qFormat/>
    <w:rsid w:val="00086983"/>
    <w:rPr>
      <w:rFonts w:cs="Times New Roman"/>
    </w:rPr>
  </w:style>
  <w:style w:type="character" w:styleId="WW8Num31z0" w:customStyle="1">
    <w:name w:val="WW8Num31z0"/>
    <w:qFormat/>
    <w:rsid w:val="00086983"/>
    <w:rPr>
      <w:rFonts w:ascii="Times New Roman" w:hAnsi="Times New Roman" w:eastAsia="Times New Roman" w:cs="Times New Roman"/>
    </w:rPr>
  </w:style>
  <w:style w:type="character" w:styleId="WW8Num31z1" w:customStyle="1">
    <w:name w:val="WW8Num31z1"/>
    <w:qFormat/>
    <w:rsid w:val="00086983"/>
    <w:rPr>
      <w:rFonts w:ascii="Courier New" w:hAnsi="Courier New" w:cs="Courier New"/>
    </w:rPr>
  </w:style>
  <w:style w:type="character" w:styleId="WW8Num31z2" w:customStyle="1">
    <w:name w:val="WW8Num31z2"/>
    <w:qFormat/>
    <w:rsid w:val="00086983"/>
    <w:rPr>
      <w:rFonts w:ascii="Wingdings" w:hAnsi="Wingdings" w:cs="Wingdings"/>
    </w:rPr>
  </w:style>
  <w:style w:type="character" w:styleId="WW8Num31z3" w:customStyle="1">
    <w:name w:val="WW8Num31z3"/>
    <w:qFormat/>
    <w:rsid w:val="00086983"/>
    <w:rPr>
      <w:rFonts w:ascii="Symbol" w:hAnsi="Symbol" w:cs="Symbol"/>
    </w:rPr>
  </w:style>
  <w:style w:type="character" w:styleId="WW8Num32z0" w:customStyle="1">
    <w:name w:val="WW8Num32z0"/>
    <w:qFormat/>
    <w:rsid w:val="00086983"/>
    <w:rPr>
      <w:rFonts w:cs="Times New Roman"/>
    </w:rPr>
  </w:style>
  <w:style w:type="character" w:styleId="WW8Num33z0" w:customStyle="1">
    <w:name w:val="WW8Num33z0"/>
    <w:qFormat/>
    <w:rsid w:val="00086983"/>
    <w:rPr>
      <w:rFonts w:cs="Times New Roman"/>
    </w:rPr>
  </w:style>
  <w:style w:type="character" w:styleId="WW8Num33z1" w:customStyle="1">
    <w:name w:val="WW8Num33z1"/>
    <w:qFormat/>
    <w:rsid w:val="00086983"/>
    <w:rPr>
      <w:rFonts w:ascii="Times New Roman" w:hAnsi="Times New Roman" w:eastAsia="Times New Roman" w:cs="Times New Roman"/>
    </w:rPr>
  </w:style>
  <w:style w:type="character" w:styleId="WW8Num33z2" w:customStyle="1">
    <w:name w:val="WW8Num33z2"/>
    <w:qFormat/>
    <w:rsid w:val="00086983"/>
    <w:rPr>
      <w:rFonts w:cs="Times New Roman"/>
    </w:rPr>
  </w:style>
  <w:style w:type="character" w:styleId="WW8Num34z0" w:customStyle="1">
    <w:name w:val="WW8Num34z0"/>
    <w:qFormat/>
    <w:rsid w:val="00086983"/>
    <w:rPr>
      <w:rFonts w:ascii="Arial" w:hAnsi="Arial" w:cs="Times New Roman"/>
      <w:sz w:val="22"/>
      <w:szCs w:val="22"/>
    </w:rPr>
  </w:style>
  <w:style w:type="character" w:styleId="Standardnpsmoodstavce1" w:customStyle="1">
    <w:name w:val="Standardní písmo odstavce1"/>
    <w:qFormat/>
    <w:rsid w:val="00086983"/>
    <w:rPr/>
  </w:style>
  <w:style w:type="character" w:styleId="Heading1Char" w:customStyle="1">
    <w:name w:val="Heading 1 Char"/>
    <w:basedOn w:val="Standardnpsmoodstavce1"/>
    <w:qFormat/>
    <w:rsid w:val="00086983"/>
    <w:rPr>
      <w:rFonts w:ascii="Cambria" w:hAnsi="Cambria" w:cs="Times New Roman"/>
      <w:b/>
      <w:bCs/>
      <w:kern w:val="2"/>
      <w:sz w:val="32"/>
      <w:szCs w:val="32"/>
    </w:rPr>
  </w:style>
  <w:style w:type="character" w:styleId="Heading2Char" w:customStyle="1">
    <w:name w:val="Heading 2 Char"/>
    <w:basedOn w:val="Standardnpsmoodstavce1"/>
    <w:qFormat/>
    <w:rsid w:val="00086983"/>
    <w:rPr>
      <w:rFonts w:ascii="Cambria" w:hAnsi="Cambria" w:cs="Times New Roman"/>
      <w:b/>
      <w:bCs/>
      <w:i/>
      <w:iCs/>
      <w:sz w:val="28"/>
      <w:szCs w:val="28"/>
    </w:rPr>
  </w:style>
  <w:style w:type="character" w:styleId="Heading3Char" w:customStyle="1">
    <w:name w:val="Heading 3 Char"/>
    <w:basedOn w:val="Standardnpsmoodstavce1"/>
    <w:qFormat/>
    <w:rsid w:val="00086983"/>
    <w:rPr>
      <w:rFonts w:ascii="Cambria" w:hAnsi="Cambria" w:cs="Times New Roman"/>
      <w:b/>
      <w:bCs/>
      <w:sz w:val="26"/>
      <w:szCs w:val="26"/>
    </w:rPr>
  </w:style>
  <w:style w:type="character" w:styleId="Heading4Char" w:customStyle="1">
    <w:name w:val="Heading 4 Char"/>
    <w:basedOn w:val="Standardnpsmoodstavce1"/>
    <w:qFormat/>
    <w:rsid w:val="00086983"/>
    <w:rPr>
      <w:rFonts w:ascii="Calibri" w:hAnsi="Calibri" w:cs="Times New Roman"/>
      <w:b/>
      <w:bCs/>
      <w:sz w:val="28"/>
      <w:szCs w:val="28"/>
    </w:rPr>
  </w:style>
  <w:style w:type="character" w:styleId="Heading5Char" w:customStyle="1">
    <w:name w:val="Heading 5 Char"/>
    <w:basedOn w:val="Standardnpsmoodstavce1"/>
    <w:qFormat/>
    <w:rsid w:val="00086983"/>
    <w:rPr>
      <w:rFonts w:ascii="Calibri" w:hAnsi="Calibri" w:cs="Times New Roman"/>
      <w:b/>
      <w:bCs/>
      <w:i/>
      <w:iCs/>
      <w:sz w:val="26"/>
      <w:szCs w:val="26"/>
    </w:rPr>
  </w:style>
  <w:style w:type="character" w:styleId="Heading6Char" w:customStyle="1">
    <w:name w:val="Heading 6 Char"/>
    <w:basedOn w:val="Standardnpsmoodstavce1"/>
    <w:qFormat/>
    <w:rsid w:val="00086983"/>
    <w:rPr>
      <w:rFonts w:ascii="Calibri" w:hAnsi="Calibri" w:cs="Times New Roman"/>
      <w:b/>
      <w:bCs/>
    </w:rPr>
  </w:style>
  <w:style w:type="character" w:styleId="Heading7Char" w:customStyle="1">
    <w:name w:val="Heading 7 Char"/>
    <w:basedOn w:val="Standardnpsmoodstavce1"/>
    <w:qFormat/>
    <w:rsid w:val="00086983"/>
    <w:rPr>
      <w:rFonts w:ascii="Calibri" w:hAnsi="Calibri" w:cs="Times New Roman"/>
      <w:sz w:val="24"/>
      <w:szCs w:val="24"/>
    </w:rPr>
  </w:style>
  <w:style w:type="character" w:styleId="Heading8Char" w:customStyle="1">
    <w:name w:val="Heading 8 Char"/>
    <w:basedOn w:val="Standardnpsmoodstavce1"/>
    <w:qFormat/>
    <w:rsid w:val="00086983"/>
    <w:rPr>
      <w:rFonts w:ascii="Calibri" w:hAnsi="Calibri" w:cs="Times New Roman"/>
      <w:i/>
      <w:iCs/>
      <w:sz w:val="24"/>
      <w:szCs w:val="24"/>
    </w:rPr>
  </w:style>
  <w:style w:type="character" w:styleId="Heading9Char" w:customStyle="1">
    <w:name w:val="Heading 9 Char"/>
    <w:basedOn w:val="Standardnpsmoodstavce1"/>
    <w:qFormat/>
    <w:rsid w:val="00086983"/>
    <w:rPr>
      <w:rFonts w:ascii="Cambria" w:hAnsi="Cambria" w:cs="Times New Roman"/>
    </w:rPr>
  </w:style>
  <w:style w:type="character" w:styleId="BodyText2Char" w:customStyle="1">
    <w:name w:val="Body Text 2 Char"/>
    <w:basedOn w:val="Standardnpsmoodstavce1"/>
    <w:qFormat/>
    <w:rsid w:val="00086983"/>
    <w:rPr>
      <w:rFonts w:cs="Times New Roman"/>
      <w:sz w:val="20"/>
      <w:szCs w:val="20"/>
    </w:rPr>
  </w:style>
  <w:style w:type="character" w:styleId="BodyText3Char" w:customStyle="1">
    <w:name w:val="Body Text 3 Char"/>
    <w:basedOn w:val="Standardnpsmoodstavce1"/>
    <w:qFormat/>
    <w:rsid w:val="00086983"/>
    <w:rPr>
      <w:rFonts w:cs="Times New Roman"/>
      <w:sz w:val="16"/>
      <w:szCs w:val="16"/>
    </w:rPr>
  </w:style>
  <w:style w:type="character" w:styleId="BodyTextChar" w:customStyle="1">
    <w:name w:val="Body Text Char"/>
    <w:basedOn w:val="Standardnpsmoodstavce1"/>
    <w:qFormat/>
    <w:rsid w:val="00086983"/>
    <w:rPr>
      <w:rFonts w:cs="Times New Roman"/>
      <w:sz w:val="20"/>
      <w:szCs w:val="20"/>
    </w:rPr>
  </w:style>
  <w:style w:type="character" w:styleId="TitleChar" w:customStyle="1">
    <w:name w:val="Title Char"/>
    <w:basedOn w:val="Standardnpsmoodstavce1"/>
    <w:qFormat/>
    <w:rsid w:val="00086983"/>
    <w:rPr>
      <w:rFonts w:ascii="Cambria" w:hAnsi="Cambria" w:cs="Times New Roman"/>
      <w:b/>
      <w:bCs/>
      <w:kern w:val="2"/>
      <w:sz w:val="32"/>
      <w:szCs w:val="32"/>
    </w:rPr>
  </w:style>
  <w:style w:type="character" w:styleId="HeaderChar" w:customStyle="1">
    <w:name w:val="Header Char"/>
    <w:basedOn w:val="Standardnpsmoodstavce1"/>
    <w:qFormat/>
    <w:rsid w:val="00086983"/>
    <w:rPr>
      <w:rFonts w:cs="Times New Roman"/>
      <w:sz w:val="20"/>
      <w:szCs w:val="20"/>
    </w:rPr>
  </w:style>
  <w:style w:type="character" w:styleId="BodyTextIndentChar" w:customStyle="1">
    <w:name w:val="Body Text Indent Char"/>
    <w:basedOn w:val="Standardnpsmoodstavce1"/>
    <w:qFormat/>
    <w:rsid w:val="00086983"/>
    <w:rPr>
      <w:rFonts w:cs="Times New Roman"/>
      <w:sz w:val="20"/>
      <w:szCs w:val="20"/>
    </w:rPr>
  </w:style>
  <w:style w:type="character" w:styleId="FooterChar" w:customStyle="1">
    <w:name w:val="Footer Char"/>
    <w:basedOn w:val="Standardnpsmoodstavce1"/>
    <w:qFormat/>
    <w:rsid w:val="00086983"/>
    <w:rPr>
      <w:rFonts w:cs="Times New Roman"/>
      <w:sz w:val="20"/>
      <w:szCs w:val="20"/>
    </w:rPr>
  </w:style>
  <w:style w:type="character" w:styleId="Pagenumber">
    <w:name w:val="page number"/>
    <w:basedOn w:val="Standardnpsmoodstavce1"/>
    <w:qFormat/>
    <w:rsid w:val="00086983"/>
    <w:rPr>
      <w:rFonts w:cs="Times New Roman"/>
    </w:rPr>
  </w:style>
  <w:style w:type="character" w:styleId="BodyTextIndent2Char" w:customStyle="1">
    <w:name w:val="Body Text Indent 2 Char"/>
    <w:basedOn w:val="Standardnpsmoodstavce1"/>
    <w:qFormat/>
    <w:rsid w:val="00086983"/>
    <w:rPr>
      <w:rFonts w:cs="Times New Roman"/>
      <w:sz w:val="20"/>
      <w:szCs w:val="20"/>
    </w:rPr>
  </w:style>
  <w:style w:type="character" w:styleId="Odkaznakoment1" w:customStyle="1">
    <w:name w:val="Odkaz na komentář1"/>
    <w:basedOn w:val="Standardnpsmoodstavce1"/>
    <w:qFormat/>
    <w:rsid w:val="00086983"/>
    <w:rPr>
      <w:rFonts w:cs="Times New Roman"/>
      <w:sz w:val="16"/>
      <w:szCs w:val="16"/>
    </w:rPr>
  </w:style>
  <w:style w:type="character" w:styleId="CommentTextChar" w:customStyle="1">
    <w:name w:val="Comment Text Char"/>
    <w:basedOn w:val="Standardnpsmoodstavce1"/>
    <w:qFormat/>
    <w:rsid w:val="00086983"/>
    <w:rPr>
      <w:rFonts w:cs="Times New Roman"/>
    </w:rPr>
  </w:style>
  <w:style w:type="character" w:styleId="CommentSubjectChar" w:customStyle="1">
    <w:name w:val="Comment Subject Char"/>
    <w:basedOn w:val="CommentTextChar"/>
    <w:qFormat/>
    <w:rsid w:val="00086983"/>
    <w:rPr>
      <w:rFonts w:cs="Times New Roman"/>
      <w:b/>
      <w:bCs/>
      <w:sz w:val="20"/>
      <w:szCs w:val="20"/>
    </w:rPr>
  </w:style>
  <w:style w:type="character" w:styleId="BalloonTextChar" w:customStyle="1">
    <w:name w:val="Balloon Text Char"/>
    <w:basedOn w:val="Standardnpsmoodstavce1"/>
    <w:qFormat/>
    <w:rsid w:val="00086983"/>
    <w:rPr>
      <w:rFonts w:cs="Times New Roman"/>
      <w:sz w:val="2"/>
    </w:rPr>
  </w:style>
  <w:style w:type="character" w:styleId="FootnoteTextChar" w:customStyle="1">
    <w:name w:val="Footnote Text Char"/>
    <w:basedOn w:val="Standardnpsmoodstavce1"/>
    <w:qFormat/>
    <w:rsid w:val="00086983"/>
    <w:rPr>
      <w:rFonts w:cs="Times New Roman"/>
    </w:rPr>
  </w:style>
  <w:style w:type="character" w:styleId="Znakypropoznmkupodarou" w:customStyle="1">
    <w:name w:val="Znaky pro poznámku pod čarou"/>
    <w:basedOn w:val="Standardnpsmoodstavce1"/>
    <w:qFormat/>
    <w:rsid w:val="00086983"/>
    <w:rPr>
      <w:rFonts w:cs="Times New Roman"/>
      <w:vertAlign w:val="superscript"/>
    </w:rPr>
  </w:style>
  <w:style w:type="character" w:styleId="Strong">
    <w:name w:val="Strong"/>
    <w:basedOn w:val="Standardnpsmoodstavce1"/>
    <w:qFormat/>
    <w:rsid w:val="00086983"/>
    <w:rPr>
      <w:rFonts w:cs="Times New Roman"/>
      <w:b/>
      <w:bCs/>
    </w:rPr>
  </w:style>
  <w:style w:type="character" w:styleId="S22" w:customStyle="1">
    <w:name w:val="s22"/>
    <w:basedOn w:val="Standardnpsmoodstavce1"/>
    <w:qFormat/>
    <w:rsid w:val="00086983"/>
    <w:rPr>
      <w:rFonts w:cs="Times New Roman"/>
    </w:rPr>
  </w:style>
  <w:style w:type="character" w:styleId="S23" w:customStyle="1">
    <w:name w:val="s23"/>
    <w:basedOn w:val="Standardnpsmoodstavce1"/>
    <w:qFormat/>
    <w:rsid w:val="00086983"/>
    <w:rPr>
      <w:rFonts w:cs="Times New Roman"/>
    </w:rPr>
  </w:style>
  <w:style w:type="character" w:styleId="S30" w:customStyle="1">
    <w:name w:val="s30"/>
    <w:basedOn w:val="Standardnpsmoodstavce1"/>
    <w:qFormat/>
    <w:rsid w:val="00086983"/>
    <w:rPr>
      <w:rFonts w:cs="Times New Roman"/>
    </w:rPr>
  </w:style>
  <w:style w:type="character" w:styleId="A" w:customStyle="1">
    <w:name w:val="a"/>
    <w:basedOn w:val="Standardnpsmoodstavce1"/>
    <w:qFormat/>
    <w:rsid w:val="00086983"/>
    <w:rPr>
      <w:rFonts w:cs="Times New Roman"/>
    </w:rPr>
  </w:style>
  <w:style w:type="character" w:styleId="S31" w:customStyle="1">
    <w:name w:val="s31"/>
    <w:basedOn w:val="Standardnpsmoodstavce1"/>
    <w:qFormat/>
    <w:rsid w:val="00086983"/>
    <w:rPr>
      <w:rFonts w:cs="Times New Roman"/>
    </w:rPr>
  </w:style>
  <w:style w:type="character" w:styleId="Odkaznakoment2" w:customStyle="1">
    <w:name w:val="Odkaz na komentář2"/>
    <w:basedOn w:val="Standardnpsmoodstavce2"/>
    <w:qFormat/>
    <w:rsid w:val="00086983"/>
    <w:rPr>
      <w:sz w:val="16"/>
      <w:szCs w:val="16"/>
    </w:rPr>
  </w:style>
  <w:style w:type="character" w:styleId="Annotationreference">
    <w:name w:val="annotation reference"/>
    <w:basedOn w:val="DefaultParagraphFont"/>
    <w:semiHidden/>
    <w:qFormat/>
    <w:rsid w:val="007d7e57"/>
    <w:rPr>
      <w:sz w:val="16"/>
      <w:szCs w:val="16"/>
    </w:rPr>
  </w:style>
  <w:style w:type="character" w:styleId="Internetovodkaz">
    <w:name w:val="Internetový odkaz"/>
    <w:basedOn w:val="DefaultParagraphFont"/>
    <w:rsid w:val="00d20067"/>
    <w:rPr>
      <w:color w:val="0000FF" w:themeColor="hyperlink"/>
      <w:u w:val="single"/>
    </w:rPr>
  </w:style>
  <w:style w:type="character" w:styleId="TextkomenteChar" w:customStyle="1">
    <w:name w:val="Text komentáře Char"/>
    <w:basedOn w:val="DefaultParagraphFont"/>
    <w:link w:val="Textkomente"/>
    <w:semiHidden/>
    <w:qFormat/>
    <w:rsid w:val="007e4599"/>
    <w:rPr>
      <w:rFonts w:ascii="Arial" w:hAnsi="Arial"/>
      <w:sz w:val="22"/>
      <w:szCs w:val="22"/>
      <w:lang w:eastAsia="zh-CN"/>
    </w:rPr>
  </w:style>
  <w:style w:type="character" w:styleId="ZhlavChar" w:customStyle="1">
    <w:name w:val="Záhlaví Char"/>
    <w:basedOn w:val="DefaultParagraphFont"/>
    <w:link w:val="Zhlav"/>
    <w:qFormat/>
    <w:rsid w:val="00f70847"/>
    <w:rPr>
      <w:rFonts w:ascii="Arial" w:hAnsi="Arial"/>
      <w:sz w:val="22"/>
      <w:szCs w:val="22"/>
      <w:lang w:eastAsia="zh-CN"/>
    </w:rPr>
  </w:style>
  <w:style w:type="character" w:styleId="ZpatChar" w:customStyle="1">
    <w:name w:val="Zápatí Char"/>
    <w:basedOn w:val="DefaultParagraphFont"/>
    <w:link w:val="Zpat"/>
    <w:qFormat/>
    <w:rsid w:val="00f70847"/>
    <w:rPr>
      <w:rFonts w:ascii="Arial" w:hAnsi="Arial"/>
      <w:sz w:val="22"/>
      <w:szCs w:val="22"/>
      <w:lang w:eastAsia="zh-CN"/>
    </w:rPr>
  </w:style>
  <w:style w:type="character" w:styleId="Linenumber">
    <w:name w:val="line number"/>
    <w:qFormat/>
    <w:rPr/>
  </w:style>
  <w:style w:type="character" w:styleId="Slovndk">
    <w:name w:val="Číslování řádků"/>
    <w:rPr/>
  </w:style>
  <w:style w:type="paragraph" w:styleId="Nadpis" w:customStyle="1">
    <w:name w:val="Nadpis"/>
    <w:basedOn w:val="Normal"/>
    <w:next w:val="Tlotextu"/>
    <w:qFormat/>
    <w:rsid w:val="00086983"/>
    <w:pPr>
      <w:jc w:val="center"/>
    </w:pPr>
    <w:rPr>
      <w:b/>
      <w:sz w:val="32"/>
    </w:rPr>
  </w:style>
  <w:style w:type="paragraph" w:styleId="Tlotextu">
    <w:name w:val="Body Text"/>
    <w:basedOn w:val="Normal"/>
    <w:rsid w:val="00086983"/>
    <w:pPr>
      <w:jc w:val="both"/>
    </w:pPr>
    <w:rPr>
      <w:b/>
    </w:rPr>
  </w:style>
  <w:style w:type="paragraph" w:styleId="Seznam">
    <w:name w:val="List"/>
    <w:basedOn w:val="Tlotextu"/>
    <w:rsid w:val="00086983"/>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rsid w:val="00086983"/>
    <w:pPr>
      <w:suppressLineNumbers/>
    </w:pPr>
    <w:rPr>
      <w:rFonts w:cs="Arial"/>
    </w:rPr>
  </w:style>
  <w:style w:type="paragraph" w:styleId="Caption">
    <w:name w:val="caption"/>
    <w:basedOn w:val="Normal"/>
    <w:qFormat/>
    <w:rsid w:val="00086983"/>
    <w:pPr>
      <w:suppressLineNumbers/>
      <w:spacing w:before="120" w:after="120"/>
    </w:pPr>
    <w:rPr>
      <w:rFonts w:cs="Arial"/>
      <w:i/>
      <w:iCs/>
      <w:sz w:val="24"/>
      <w:szCs w:val="24"/>
    </w:rPr>
  </w:style>
  <w:style w:type="paragraph" w:styleId="Nadpis11" w:customStyle="1">
    <w:name w:val="Nadpis 11"/>
    <w:basedOn w:val="Normal"/>
    <w:next w:val="Normal"/>
    <w:qFormat/>
    <w:rsid w:val="00086983"/>
    <w:pPr>
      <w:keepNext w:val="true"/>
      <w:jc w:val="both"/>
      <w:outlineLvl w:val="0"/>
    </w:pPr>
    <w:rPr>
      <w:sz w:val="24"/>
    </w:rPr>
  </w:style>
  <w:style w:type="paragraph" w:styleId="Nadpis21" w:customStyle="1">
    <w:name w:val="Nadpis 21"/>
    <w:basedOn w:val="Normal"/>
    <w:next w:val="Normal"/>
    <w:qFormat/>
    <w:rsid w:val="00086983"/>
    <w:pPr>
      <w:keepNext w:val="true"/>
      <w:jc w:val="center"/>
      <w:outlineLvl w:val="1"/>
    </w:pPr>
    <w:rPr>
      <w:b/>
      <w:sz w:val="24"/>
    </w:rPr>
  </w:style>
  <w:style w:type="paragraph" w:styleId="Nadpis31" w:customStyle="1">
    <w:name w:val="Nadpis 31"/>
    <w:basedOn w:val="Normal"/>
    <w:next w:val="Normal"/>
    <w:qFormat/>
    <w:rsid w:val="00086983"/>
    <w:pPr>
      <w:keepNext w:val="true"/>
      <w:jc w:val="both"/>
      <w:outlineLvl w:val="2"/>
    </w:pPr>
    <w:rPr>
      <w:b/>
      <w:sz w:val="24"/>
    </w:rPr>
  </w:style>
  <w:style w:type="paragraph" w:styleId="Nadpis41" w:customStyle="1">
    <w:name w:val="Nadpis 41"/>
    <w:basedOn w:val="Normal"/>
    <w:next w:val="Normal"/>
    <w:qFormat/>
    <w:rsid w:val="00086983"/>
    <w:pPr>
      <w:keepNext w:val="true"/>
      <w:jc w:val="center"/>
      <w:outlineLvl w:val="3"/>
    </w:pPr>
    <w:rPr>
      <w:sz w:val="24"/>
    </w:rPr>
  </w:style>
  <w:style w:type="paragraph" w:styleId="Nadpis51" w:customStyle="1">
    <w:name w:val="Nadpis 51"/>
    <w:basedOn w:val="Normal"/>
    <w:next w:val="Normal"/>
    <w:qFormat/>
    <w:rsid w:val="00086983"/>
    <w:pPr>
      <w:keepNext w:val="true"/>
      <w:widowControl w:val="false"/>
      <w:jc w:val="center"/>
      <w:outlineLvl w:val="4"/>
    </w:pPr>
    <w:rPr>
      <w:b/>
    </w:rPr>
  </w:style>
  <w:style w:type="paragraph" w:styleId="Nadpis61" w:customStyle="1">
    <w:name w:val="Nadpis 61"/>
    <w:basedOn w:val="Normal"/>
    <w:next w:val="Normal"/>
    <w:qFormat/>
    <w:rsid w:val="00086983"/>
    <w:pPr>
      <w:keepNext w:val="true"/>
      <w:jc w:val="center"/>
      <w:outlineLvl w:val="5"/>
    </w:pPr>
    <w:rPr>
      <w:b/>
      <w:sz w:val="28"/>
    </w:rPr>
  </w:style>
  <w:style w:type="paragraph" w:styleId="Nadpis71" w:customStyle="1">
    <w:name w:val="Nadpis 71"/>
    <w:basedOn w:val="Normal"/>
    <w:next w:val="Normal"/>
    <w:qFormat/>
    <w:rsid w:val="00086983"/>
    <w:pPr>
      <w:keepNext w:val="true"/>
      <w:spacing w:before="120" w:after="0"/>
      <w:jc w:val="center"/>
      <w:outlineLvl w:val="6"/>
    </w:pPr>
    <w:rPr>
      <w:b/>
      <w:u w:val="single"/>
    </w:rPr>
  </w:style>
  <w:style w:type="paragraph" w:styleId="Nadpis81" w:customStyle="1">
    <w:name w:val="Nadpis 81"/>
    <w:basedOn w:val="Normal"/>
    <w:next w:val="Normal"/>
    <w:qFormat/>
    <w:rsid w:val="00086983"/>
    <w:pPr>
      <w:spacing w:before="240" w:after="60"/>
      <w:outlineLvl w:val="7"/>
    </w:pPr>
    <w:rPr>
      <w:i/>
      <w:iCs/>
      <w:sz w:val="24"/>
      <w:szCs w:val="24"/>
    </w:rPr>
  </w:style>
  <w:style w:type="paragraph" w:styleId="Nadpis91" w:customStyle="1">
    <w:name w:val="Nadpis 91"/>
    <w:basedOn w:val="Normal"/>
    <w:next w:val="Normal"/>
    <w:qFormat/>
    <w:rsid w:val="00086983"/>
    <w:pPr>
      <w:spacing w:before="240" w:after="60"/>
      <w:outlineLvl w:val="8"/>
    </w:pPr>
    <w:rPr>
      <w:rFonts w:cs="Arial"/>
    </w:rPr>
  </w:style>
  <w:style w:type="paragraph" w:styleId="Titulek1" w:customStyle="1">
    <w:name w:val="Titulek1"/>
    <w:basedOn w:val="Normal"/>
    <w:qFormat/>
    <w:rsid w:val="00383c8b"/>
    <w:pPr>
      <w:suppressLineNumbers/>
      <w:spacing w:before="120" w:after="120"/>
    </w:pPr>
    <w:rPr>
      <w:rFonts w:cs="Arial"/>
      <w:i/>
      <w:iCs/>
      <w:sz w:val="24"/>
      <w:szCs w:val="24"/>
    </w:rPr>
  </w:style>
  <w:style w:type="paragraph" w:styleId="Titulek2" w:customStyle="1">
    <w:name w:val="Titulek2"/>
    <w:basedOn w:val="Normal"/>
    <w:qFormat/>
    <w:rsid w:val="00086983"/>
    <w:pPr>
      <w:suppressLineNumbers/>
      <w:spacing w:before="120" w:after="120"/>
    </w:pPr>
    <w:rPr>
      <w:rFonts w:cs="Arial"/>
      <w:i/>
      <w:iCs/>
      <w:sz w:val="24"/>
      <w:szCs w:val="24"/>
    </w:rPr>
  </w:style>
  <w:style w:type="paragraph" w:styleId="Zkladntext21" w:customStyle="1">
    <w:name w:val="Základní text 21"/>
    <w:basedOn w:val="Normal"/>
    <w:qFormat/>
    <w:rsid w:val="00086983"/>
    <w:pPr>
      <w:jc w:val="both"/>
    </w:pPr>
    <w:rPr>
      <w:sz w:val="24"/>
    </w:rPr>
  </w:style>
  <w:style w:type="paragraph" w:styleId="Zkladntext31" w:customStyle="1">
    <w:name w:val="Základní text 31"/>
    <w:basedOn w:val="Normal"/>
    <w:qFormat/>
    <w:rsid w:val="00086983"/>
    <w:pPr>
      <w:jc w:val="both"/>
    </w:pPr>
    <w:rPr/>
  </w:style>
  <w:style w:type="paragraph" w:styleId="Titulek11" w:customStyle="1">
    <w:name w:val="Titulek11"/>
    <w:basedOn w:val="Normal"/>
    <w:next w:val="Normal"/>
    <w:qFormat/>
    <w:rsid w:val="00086983"/>
    <w:pPr>
      <w:spacing w:before="120" w:after="0"/>
      <w:jc w:val="center"/>
    </w:pPr>
    <w:rPr>
      <w:rFonts w:ascii="Stamp" w:hAnsi="Stamp" w:cs="Stamp"/>
      <w:b/>
      <w:sz w:val="24"/>
    </w:rPr>
  </w:style>
  <w:style w:type="paragraph" w:styleId="Zhlavazpat" w:customStyle="1">
    <w:name w:val="Záhlaví a zápatí"/>
    <w:basedOn w:val="Normal"/>
    <w:qFormat/>
    <w:pPr/>
    <w:rPr/>
  </w:style>
  <w:style w:type="paragraph" w:styleId="Zhlav1" w:customStyle="1">
    <w:name w:val="Záhlaví1"/>
    <w:basedOn w:val="Normal"/>
    <w:qFormat/>
    <w:rsid w:val="00086983"/>
    <w:pPr>
      <w:tabs>
        <w:tab w:val="clear" w:pos="709"/>
        <w:tab w:val="center" w:pos="4536" w:leader="none"/>
        <w:tab w:val="right" w:pos="9072" w:leader="none"/>
      </w:tabs>
    </w:pPr>
    <w:rPr/>
  </w:style>
  <w:style w:type="paragraph" w:styleId="Odsazentlatextu">
    <w:name w:val="Body Text Indent"/>
    <w:basedOn w:val="Normal"/>
    <w:rsid w:val="00086983"/>
    <w:pPr>
      <w:widowControl w:val="false"/>
      <w:jc w:val="both"/>
    </w:pPr>
    <w:rPr/>
  </w:style>
  <w:style w:type="paragraph" w:styleId="Zpat1" w:customStyle="1">
    <w:name w:val="Zápatí1"/>
    <w:basedOn w:val="Normal"/>
    <w:qFormat/>
    <w:rsid w:val="00086983"/>
    <w:pPr>
      <w:tabs>
        <w:tab w:val="clear" w:pos="709"/>
        <w:tab w:val="center" w:pos="4536" w:leader="none"/>
        <w:tab w:val="right" w:pos="9072" w:leader="none"/>
      </w:tabs>
    </w:pPr>
    <w:rPr/>
  </w:style>
  <w:style w:type="paragraph" w:styleId="Smlouva" w:customStyle="1">
    <w:name w:val="Smlouva"/>
    <w:basedOn w:val="Normal"/>
    <w:qFormat/>
    <w:rsid w:val="00086983"/>
    <w:pPr>
      <w:spacing w:lineRule="auto" w:line="360"/>
      <w:ind w:start="1418" w:hanging="851"/>
      <w:jc w:val="both"/>
    </w:pPr>
    <w:rPr>
      <w:sz w:val="24"/>
    </w:rPr>
  </w:style>
  <w:style w:type="paragraph" w:styleId="Zkladntextodsazen21" w:customStyle="1">
    <w:name w:val="Základní text odsazený 21"/>
    <w:basedOn w:val="Normal"/>
    <w:qFormat/>
    <w:rsid w:val="00086983"/>
    <w:pPr>
      <w:ind w:firstLine="709"/>
      <w:jc w:val="both"/>
    </w:pPr>
    <w:rPr>
      <w:color w:val="0000FF"/>
    </w:rPr>
  </w:style>
  <w:style w:type="paragraph" w:styleId="Textkomente1" w:customStyle="1">
    <w:name w:val="Text komentáře1"/>
    <w:basedOn w:val="Normal"/>
    <w:qFormat/>
    <w:rsid w:val="00086983"/>
    <w:pPr/>
    <w:rPr/>
  </w:style>
  <w:style w:type="paragraph" w:styleId="Annotationsubject">
    <w:name w:val="annotation subject"/>
    <w:basedOn w:val="Textkomente1"/>
    <w:next w:val="Textkomente1"/>
    <w:qFormat/>
    <w:rsid w:val="00086983"/>
    <w:pPr/>
    <w:rPr>
      <w:b/>
      <w:bCs/>
    </w:rPr>
  </w:style>
  <w:style w:type="paragraph" w:styleId="BalloonText">
    <w:name w:val="Balloon Text"/>
    <w:basedOn w:val="Normal"/>
    <w:qFormat/>
    <w:rsid w:val="00086983"/>
    <w:pPr/>
    <w:rPr>
      <w:rFonts w:ascii="Tahoma" w:hAnsi="Tahoma" w:cs="Tahoma"/>
      <w:sz w:val="16"/>
      <w:szCs w:val="16"/>
    </w:rPr>
  </w:style>
  <w:style w:type="paragraph" w:styleId="Textpoznpodarou1" w:customStyle="1">
    <w:name w:val="Text pozn. pod čarou1"/>
    <w:basedOn w:val="Normal"/>
    <w:qFormat/>
    <w:rsid w:val="00086983"/>
    <w:pPr/>
    <w:rPr/>
  </w:style>
  <w:style w:type="paragraph" w:styleId="Odstavecseseznamem1" w:customStyle="1">
    <w:name w:val="Odstavec se seznamem1"/>
    <w:basedOn w:val="Normal"/>
    <w:qFormat/>
    <w:rsid w:val="00086983"/>
    <w:pPr>
      <w:ind w:start="708" w:hanging="0"/>
    </w:pPr>
    <w:rPr/>
  </w:style>
  <w:style w:type="paragraph" w:styleId="Textkomente2" w:customStyle="1">
    <w:name w:val="Text komentáře2"/>
    <w:basedOn w:val="Normal"/>
    <w:qFormat/>
    <w:rsid w:val="00086983"/>
    <w:pPr/>
    <w:rPr/>
  </w:style>
  <w:style w:type="paragraph" w:styleId="Annotationtext">
    <w:name w:val="annotation text"/>
    <w:basedOn w:val="Normal"/>
    <w:link w:val="TextkomenteChar"/>
    <w:semiHidden/>
    <w:qFormat/>
    <w:rsid w:val="007d7e57"/>
    <w:pPr/>
    <w:rPr/>
  </w:style>
  <w:style w:type="paragraph" w:styleId="ListParagraph">
    <w:name w:val="List Paragraph"/>
    <w:basedOn w:val="Normal"/>
    <w:uiPriority w:val="34"/>
    <w:qFormat/>
    <w:rsid w:val="00dc2f31"/>
    <w:pPr>
      <w:spacing w:before="0" w:after="0"/>
      <w:ind w:start="720" w:hanging="0"/>
      <w:contextualSpacing/>
    </w:pPr>
    <w:rPr/>
  </w:style>
  <w:style w:type="paragraph" w:styleId="Zhlav">
    <w:name w:val="Header"/>
    <w:basedOn w:val="Normal"/>
    <w:link w:val="ZhlavChar"/>
    <w:rsid w:val="00f70847"/>
    <w:pPr>
      <w:tabs>
        <w:tab w:val="clear" w:pos="709"/>
        <w:tab w:val="center" w:pos="4536" w:leader="none"/>
        <w:tab w:val="right" w:pos="9072" w:leader="none"/>
      </w:tabs>
    </w:pPr>
    <w:rPr/>
  </w:style>
  <w:style w:type="paragraph" w:styleId="Zpat">
    <w:name w:val="Footer"/>
    <w:basedOn w:val="Normal"/>
    <w:link w:val="ZpatChar"/>
    <w:rsid w:val="00f70847"/>
    <w:pPr>
      <w:tabs>
        <w:tab w:val="clear" w:pos="709"/>
        <w:tab w:val="center" w:pos="4536" w:leader="none"/>
        <w:tab w:val="right" w:pos="9072" w:leader="none"/>
      </w:tabs>
    </w:pPr>
    <w:rPr/>
  </w:style>
  <w:style w:type="paragraph" w:styleId="Koment" w:customStyle="1">
    <w:name w:val="Komentář"/>
    <w:basedOn w:val="Normal"/>
    <w:qFormat/>
    <w:pPr>
      <w:spacing w:before="56" w:after="0"/>
      <w:ind w:start="57" w:end="57" w:hanging="0"/>
    </w:pPr>
    <w:rPr>
      <w:sz w:val="20"/>
      <w:szCs w:val="20"/>
    </w:rPr>
  </w:style>
  <w:style w:type="numbering" w:styleId="NoList" w:default="1">
    <w:name w:val="No List"/>
    <w:uiPriority w:val="99"/>
    <w:semiHidden/>
    <w:unhideWhenUsed/>
    <w:qFormat/>
  </w:style>
  <w:style w:type="numbering" w:styleId="OutlineList2">
    <w:name w:val="Outline List 2"/>
    <w:qFormat/>
    <w:rsid w:val="00bf5672"/>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ys.krajdtm.cz/portal-vys/"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DD187-26A2-4858-8616-0E62C8B7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LibreOffice/7.2.7.2$Windows_X86_64 LibreOffice_project/8d71d29d553c0f7dcbfa38fbfda25ee34cce99a2</Application>
  <AppVersion>15.0000</AppVersion>
  <Pages>22</Pages>
  <Words>9722</Words>
  <Characters>57620</Characters>
  <CharactersWithSpaces>67725</CharactersWithSpaces>
  <Paragraphs>362</Paragraphs>
  <Company>Město Nové Město na Moravě</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2025-08-19T10:09:00Z</dcterms:created>
  <dc:creator>Mgr. Jaroslava Homolková</dc:creator>
  <dc:description/>
  <dc:language>cs-CZ</dc:language>
  <cp:lastModifiedBy/>
  <cp:lastPrinted>2025-08-19T05:11:00Z</cp:lastPrinted>
  <dcterms:modified xsi:type="dcterms:W3CDTF">2025-09-12T11:50:31Z</dcterms:modified>
  <cp:revision>16</cp:revision>
  <dc:subject/>
  <dc:title>Smlouva o dílo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