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s>
        <w:jc w:val="both"/>
        <w:rPr>
          <w:b/>
          <w:b/>
          <w:bCs/>
        </w:rPr>
      </w:pPr>
      <w:r>
        <w:rPr>
          <w:rFonts w:cs="Arial" w:ascii="Arial" w:hAnsi="Arial"/>
          <w:b/>
          <w:bCs/>
          <w:iCs/>
          <w:sz w:val="22"/>
          <w:szCs w:val="22"/>
        </w:rPr>
        <w:t>1.</w:t>
        <w:tab/>
        <w:t xml:space="preserve">Firma: ………………... </w:t>
      </w:r>
      <w:r>
        <w:rPr>
          <w:rFonts w:cs="Arial" w:ascii="Arial" w:hAnsi="Arial"/>
          <w:b/>
          <w:bCs/>
          <w:sz w:val="22"/>
          <w:szCs w:val="22"/>
          <w:shd w:fill="FFFF99" w:val="clear"/>
        </w:rPr>
        <w:t xml:space="preserve"> </w:t>
      </w:r>
    </w:p>
    <w:p>
      <w:pPr>
        <w:pStyle w:val="Normal"/>
        <w:tabs>
          <w:tab w:val="clear" w:pos="709"/>
          <w:tab w:val="left" w:pos="426" w:leader="none"/>
        </w:tabs>
        <w:jc w:val="both"/>
        <w:rPr/>
      </w:pPr>
      <w:r>
        <w:rPr>
          <w:rFonts w:cs="Arial" w:ascii="Arial" w:hAnsi="Arial"/>
          <w:sz w:val="22"/>
          <w:szCs w:val="22"/>
        </w:rPr>
        <w:tab/>
        <w:t>se sídlem …………………………..</w:t>
      </w:r>
      <w:r>
        <w:rPr>
          <w:rFonts w:cs="Arial" w:ascii="Arial" w:hAnsi="Arial"/>
          <w:sz w:val="22"/>
          <w:szCs w:val="22"/>
          <w:shd w:fill="FFFF00" w:val="clear"/>
        </w:rPr>
        <w:t xml:space="preserve"> </w:t>
      </w:r>
    </w:p>
    <w:p>
      <w:pPr>
        <w:pStyle w:val="Normal"/>
        <w:tabs>
          <w:tab w:val="clear" w:pos="709"/>
          <w:tab w:val="left" w:pos="426" w:leader="none"/>
        </w:tabs>
        <w:jc w:val="both"/>
        <w:rPr/>
      </w:pPr>
      <w:r>
        <w:rPr>
          <w:rFonts w:cs="Arial" w:ascii="Arial" w:hAnsi="Arial"/>
          <w:sz w:val="22"/>
          <w:szCs w:val="22"/>
        </w:rPr>
        <w:tab/>
        <w:t>zastoupený ……………………………….</w:t>
      </w:r>
    </w:p>
    <w:p>
      <w:pPr>
        <w:pStyle w:val="Normal"/>
        <w:tabs>
          <w:tab w:val="clear" w:pos="709"/>
          <w:tab w:val="left" w:pos="426" w:leader="none"/>
        </w:tabs>
        <w:jc w:val="both"/>
        <w:rPr/>
      </w:pPr>
      <w:r>
        <w:rPr>
          <w:rFonts w:cs="Arial" w:ascii="Arial" w:hAnsi="Arial"/>
          <w:sz w:val="22"/>
          <w:szCs w:val="22"/>
        </w:rPr>
        <w:tab/>
        <w:t>IČ: ……………..</w:t>
      </w:r>
    </w:p>
    <w:p>
      <w:pPr>
        <w:pStyle w:val="Normal"/>
        <w:tabs>
          <w:tab w:val="clear" w:pos="709"/>
          <w:tab w:val="left" w:pos="426" w:leader="none"/>
        </w:tabs>
        <w:jc w:val="both"/>
        <w:rPr/>
      </w:pPr>
      <w:r>
        <w:rPr>
          <w:rFonts w:cs="Arial" w:ascii="Arial" w:hAnsi="Arial"/>
          <w:sz w:val="22"/>
          <w:szCs w:val="22"/>
        </w:rPr>
        <w:tab/>
        <w:t>DIČ: ……………...</w:t>
      </w:r>
      <w:r>
        <w:rPr>
          <w:rFonts w:cs="Arial" w:ascii="Arial" w:hAnsi="Arial"/>
          <w:sz w:val="22"/>
          <w:szCs w:val="22"/>
          <w:shd w:fill="FFFF00" w:val="clear"/>
        </w:rPr>
        <w:t xml:space="preserve"> </w:t>
      </w:r>
    </w:p>
    <w:p>
      <w:pPr>
        <w:pStyle w:val="Normal"/>
        <w:tabs>
          <w:tab w:val="clear" w:pos="709"/>
          <w:tab w:val="left" w:pos="852" w:leader="none"/>
          <w:tab w:val="left" w:pos="1277" w:leader="none"/>
        </w:tabs>
        <w:ind w:left="426" w:hanging="426"/>
        <w:jc w:val="both"/>
        <w:rPr/>
      </w:pPr>
      <w:r>
        <w:rPr>
          <w:rFonts w:cs="Arial" w:ascii="Arial" w:hAnsi="Arial"/>
          <w:sz w:val="22"/>
          <w:szCs w:val="22"/>
        </w:rPr>
        <w:tab/>
        <w:t xml:space="preserve">zapsaná v obchodním rejstříku …………………….., </w:t>
      </w:r>
    </w:p>
    <w:p>
      <w:pPr>
        <w:pStyle w:val="Normal"/>
        <w:tabs>
          <w:tab w:val="clear" w:pos="709"/>
          <w:tab w:val="left" w:pos="426" w:leader="none"/>
          <w:tab w:val="left" w:pos="851" w:leader="none"/>
        </w:tabs>
        <w:jc w:val="both"/>
        <w:rPr/>
      </w:pPr>
      <w:r>
        <w:rPr>
          <w:rFonts w:cs="Arial" w:ascii="Arial" w:hAnsi="Arial"/>
          <w:i/>
          <w:sz w:val="22"/>
          <w:szCs w:val="22"/>
        </w:rPr>
        <w:tab/>
        <w:t>(dále jen „prodávající“)</w:t>
      </w:r>
    </w:p>
    <w:p>
      <w:pPr>
        <w:pStyle w:val="Normal"/>
        <w:spacing w:lineRule="atLeast" w:line="240"/>
        <w:jc w:val="both"/>
        <w:rPr>
          <w:rFonts w:ascii="CD Fedra Book;Times New Roman" w:hAnsi="CD Fedra Book;Times New Roman" w:cs="CD Fedra Book;Times New Roman"/>
          <w:i/>
          <w:i/>
          <w:color w:val="FF0000"/>
          <w:sz w:val="18"/>
          <w:szCs w:val="18"/>
        </w:rPr>
      </w:pPr>
      <w:r>
        <w:rPr>
          <w:rFonts w:cs="CD Fedra Book;Times New Roman" w:ascii="CD Fedra Book;Times New Roman" w:hAnsi="CD Fedra Book;Times New Roman"/>
          <w:i/>
          <w:color w:val="FF0000"/>
          <w:sz w:val="18"/>
          <w:szCs w:val="18"/>
        </w:rPr>
      </w:r>
    </w:p>
    <w:p>
      <w:pPr>
        <w:pStyle w:val="Normal"/>
        <w:tabs>
          <w:tab w:val="clear" w:pos="709"/>
          <w:tab w:val="left" w:pos="426" w:leader="none"/>
          <w:tab w:val="left" w:pos="851" w:leader="none"/>
        </w:tabs>
        <w:jc w:val="both"/>
        <w:rPr>
          <w:rFonts w:ascii="Arial" w:hAnsi="Arial" w:cs="Arial"/>
          <w:i/>
          <w:i/>
          <w:color w:val="FF0000"/>
          <w:sz w:val="22"/>
          <w:szCs w:val="22"/>
        </w:rPr>
      </w:pPr>
      <w:r>
        <w:rPr>
          <w:rFonts w:cs="Arial" w:ascii="Arial" w:hAnsi="Arial"/>
          <w:i/>
          <w:color w:val="FF0000"/>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pPr>
      <w:r>
        <w:rPr>
          <w:rFonts w:cs="Arial" w:ascii="Arial" w:hAnsi="Arial"/>
          <w:sz w:val="22"/>
          <w:szCs w:val="22"/>
        </w:rPr>
        <w:t>2.</w:t>
        <w:tab/>
      </w:r>
      <w:r>
        <w:rPr>
          <w:rFonts w:cs="Arial" w:ascii="Arial" w:hAnsi="Arial"/>
          <w:b/>
          <w:sz w:val="22"/>
          <w:szCs w:val="22"/>
        </w:rPr>
        <w:t>Město Nové Město na Moravě</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se sídlem Vratislavovo náměstí 103, 592 31 Nové Město na Moravě</w:t>
      </w:r>
    </w:p>
    <w:p>
      <w:pPr>
        <w:pStyle w:val="Normal"/>
        <w:tabs>
          <w:tab w:val="clear" w:pos="709"/>
          <w:tab w:val="left" w:pos="426" w:leader="none"/>
          <w:tab w:val="left" w:pos="851" w:leader="none"/>
        </w:tabs>
        <w:jc w:val="both"/>
        <w:rPr/>
      </w:pPr>
      <w:r>
        <w:rPr>
          <w:rFonts w:cs="Arial" w:ascii="Arial" w:hAnsi="Arial"/>
          <w:sz w:val="22"/>
          <w:szCs w:val="22"/>
        </w:rPr>
        <w:tab/>
        <w:t xml:space="preserve">zastoupené </w:t>
      </w:r>
      <w:r>
        <w:rPr>
          <w:rFonts w:cs="Arial" w:ascii="Arial" w:hAnsi="Arial"/>
          <w:b/>
          <w:sz w:val="22"/>
          <w:szCs w:val="22"/>
        </w:rPr>
        <w:t>Michalem Šmardou</w:t>
      </w:r>
      <w:r>
        <w:rPr>
          <w:rFonts w:cs="Arial" w:ascii="Arial" w:hAnsi="Arial"/>
          <w:sz w:val="22"/>
          <w:szCs w:val="22"/>
        </w:rPr>
        <w:t>, starostou města</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IČ: 00294900</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DIČ: CZ00294900</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bankovní spojení: Komerční banka, a.s.</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č.ú.: 1224 751/0100</w:t>
      </w:r>
    </w:p>
    <w:p>
      <w:pPr>
        <w:pStyle w:val="Normal"/>
        <w:tabs>
          <w:tab w:val="clear" w:pos="709"/>
          <w:tab w:val="left" w:pos="426" w:leader="none"/>
          <w:tab w:val="left" w:pos="851" w:leader="none"/>
        </w:tabs>
        <w:jc w:val="both"/>
        <w:rPr>
          <w:rFonts w:ascii="Arial" w:hAnsi="Arial" w:cs="Arial"/>
          <w:i/>
          <w:i/>
          <w:sz w:val="22"/>
          <w:szCs w:val="22"/>
        </w:rPr>
      </w:pPr>
      <w:r>
        <w:rPr>
          <w:rFonts w:cs="Arial" w:ascii="Arial" w:hAnsi="Arial"/>
          <w:i/>
          <w:sz w:val="22"/>
          <w:szCs w:val="22"/>
        </w:rPr>
        <w:tab/>
        <w:t>(dále jen „kupující“)</w:t>
      </w:r>
    </w:p>
    <w:p>
      <w:pPr>
        <w:pStyle w:val="Normal"/>
        <w:spacing w:before="80" w:after="0"/>
        <w:jc w:val="center"/>
        <w:rPr>
          <w:rFonts w:ascii="Arial" w:hAnsi="Arial" w:cs="Arial"/>
          <w:i/>
          <w:i/>
          <w:sz w:val="22"/>
          <w:szCs w:val="22"/>
        </w:rPr>
      </w:pPr>
      <w:r>
        <w:rPr>
          <w:rFonts w:cs="Arial" w:ascii="Arial" w:hAnsi="Arial"/>
          <w:i/>
          <w:sz w:val="22"/>
          <w:szCs w:val="22"/>
        </w:rPr>
      </w:r>
    </w:p>
    <w:p>
      <w:pPr>
        <w:pStyle w:val="Normal"/>
        <w:spacing w:before="80" w:after="0"/>
        <w:rPr/>
      </w:pPr>
      <w:r>
        <w:rPr>
          <w:rFonts w:cs="Arial" w:ascii="Arial" w:hAnsi="Arial"/>
          <w:sz w:val="22"/>
          <w:szCs w:val="22"/>
        </w:rPr>
        <w:t xml:space="preserve">uzavírají níže uvedeného dne, měsíce a roku v souladu s  ust. § 2079 a násl.  ve spojení s ust. </w:t>
        <w:br/>
        <w:t>§ 2085 a násl. zákona č. 89/2012 Sb., občanský zákoník, ve znění platném a účinném ke dni uzavření této smlouvy, (dále jen „občanský zákoník“) tuto :</w:t>
      </w:r>
    </w:p>
    <w:p>
      <w:pPr>
        <w:pStyle w:val="Normal"/>
        <w:tabs>
          <w:tab w:val="clear" w:pos="709"/>
          <w:tab w:val="left" w:pos="426" w:leader="none"/>
          <w:tab w:val="left" w:pos="851" w:leader="none"/>
        </w:tabs>
        <w:jc w:val="both"/>
        <w:rPr>
          <w:rFonts w:ascii="Arial" w:hAnsi="Arial" w:eastAsia="Calibri" w:cs="Arial"/>
          <w:sz w:val="22"/>
          <w:szCs w:val="22"/>
        </w:rPr>
      </w:pPr>
      <w:r>
        <w:rPr>
          <w:rFonts w:eastAsia="Calibri" w:cs="Arial" w:ascii="Arial" w:hAnsi="Arial"/>
          <w:sz w:val="22"/>
          <w:szCs w:val="22"/>
        </w:rPr>
      </w:r>
    </w:p>
    <w:p>
      <w:pPr>
        <w:pStyle w:val="Normal"/>
        <w:tabs>
          <w:tab w:val="clear" w:pos="709"/>
          <w:tab w:val="left" w:pos="426" w:leader="none"/>
          <w:tab w:val="left" w:pos="851" w:leader="none"/>
        </w:tabs>
        <w:jc w:val="both"/>
        <w:rPr>
          <w:rFonts w:ascii="Arial" w:hAnsi="Arial" w:eastAsia="Calibri" w:cs="Arial"/>
          <w:sz w:val="22"/>
          <w:szCs w:val="22"/>
        </w:rPr>
      </w:pPr>
      <w:r>
        <w:rPr>
          <w:rFonts w:eastAsia="Calibri" w:cs="Arial" w:ascii="Arial" w:hAnsi="Arial"/>
          <w:sz w:val="22"/>
          <w:szCs w:val="22"/>
        </w:rPr>
      </w:r>
    </w:p>
    <w:p>
      <w:pPr>
        <w:pStyle w:val="Normal"/>
        <w:tabs>
          <w:tab w:val="clear" w:pos="709"/>
          <w:tab w:val="left" w:pos="426" w:leader="none"/>
          <w:tab w:val="left" w:pos="851" w:leader="none"/>
        </w:tabs>
        <w:jc w:val="center"/>
        <w:rPr>
          <w:rFonts w:ascii="Arial" w:hAnsi="Arial" w:cs="Arial"/>
          <w:b/>
          <w:b/>
          <w:sz w:val="32"/>
          <w:szCs w:val="32"/>
        </w:rPr>
      </w:pPr>
      <w:r>
        <w:rPr>
          <w:rFonts w:cs="Arial" w:ascii="Arial" w:hAnsi="Arial"/>
          <w:b/>
          <w:sz w:val="32"/>
          <w:szCs w:val="32"/>
        </w:rPr>
        <w:t>Kupní smlouvu</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Předmět smlouvy</w:t>
      </w:r>
    </w:p>
    <w:p>
      <w:pPr>
        <w:pStyle w:val="Normal"/>
        <w:tabs>
          <w:tab w:val="clear" w:pos="709"/>
          <w:tab w:val="left" w:pos="426" w:leader="none"/>
          <w:tab w:val="left" w:pos="851" w:leader="none"/>
        </w:tabs>
        <w:jc w:val="both"/>
        <w:rPr>
          <w:rFonts w:ascii="Arial" w:hAnsi="Arial" w:cs="Arial"/>
          <w:b/>
          <w:b/>
          <w:sz w:val="22"/>
          <w:szCs w:val="22"/>
          <w:highlight w:val="lightGray"/>
        </w:rPr>
      </w:pPr>
      <w:r>
        <w:rPr>
          <w:rFonts w:cs="Arial" w:ascii="Arial" w:hAnsi="Arial"/>
          <w:b/>
          <w:sz w:val="22"/>
          <w:szCs w:val="22"/>
          <w:highlight w:val="lightGray"/>
        </w:rPr>
      </w:r>
    </w:p>
    <w:p>
      <w:pPr>
        <w:pStyle w:val="ListParagraph"/>
        <w:numPr>
          <w:ilvl w:val="0"/>
          <w:numId w:val="1"/>
        </w:numPr>
        <w:tabs>
          <w:tab w:val="clear" w:pos="709"/>
          <w:tab w:val="left" w:pos="852" w:leader="none"/>
          <w:tab w:val="left" w:pos="1277" w:leader="none"/>
        </w:tabs>
        <w:ind w:left="426" w:hanging="426"/>
        <w:jc w:val="both"/>
        <w:rPr/>
      </w:pPr>
      <w:r>
        <w:rPr>
          <w:rFonts w:cs="Arial" w:ascii="Arial" w:hAnsi="Arial"/>
          <w:sz w:val="22"/>
          <w:szCs w:val="22"/>
        </w:rPr>
        <w:t xml:space="preserve">Prodávající se zavazuje kupujícímu dodat zboží – </w:t>
      </w:r>
      <w:bookmarkStart w:id="0" w:name="Text205"/>
      <w:bookmarkEnd w:id="0"/>
      <w:r>
        <w:rPr>
          <w:rFonts w:cs="Arial" w:ascii="Arial" w:hAnsi="Arial"/>
          <w:sz w:val="22"/>
          <w:szCs w:val="22"/>
        </w:rPr>
        <w:t>požární přívěs pro hašení  - nebrzděný do 750 kg (dále jen „požární přívěs“).</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ab/>
      </w:r>
    </w:p>
    <w:p>
      <w:pPr>
        <w:pStyle w:val="ListParagraph"/>
        <w:tabs>
          <w:tab w:val="clear" w:pos="709"/>
          <w:tab w:val="left" w:pos="852" w:leader="none"/>
          <w:tab w:val="left" w:pos="1277" w:leader="none"/>
        </w:tabs>
        <w:ind w:left="426" w:hanging="426"/>
        <w:jc w:val="both"/>
        <w:rPr/>
      </w:pPr>
      <w:r>
        <w:rPr>
          <w:rFonts w:cs="Arial" w:ascii="Arial" w:hAnsi="Arial"/>
          <w:sz w:val="22"/>
          <w:szCs w:val="22"/>
        </w:rPr>
        <w:tab/>
        <w:t>Podrobná technická specifikace je uvedena v Příloze č. 1 - Technické podmínky pro požární přívěs pro SDH Pohledec</w:t>
      </w:r>
      <w:bookmarkStart w:id="1" w:name="_GoBack"/>
      <w:bookmarkEnd w:id="1"/>
      <w:r>
        <w:rPr>
          <w:rFonts w:cs="Arial" w:ascii="Arial" w:hAnsi="Arial"/>
          <w:sz w:val="22"/>
          <w:szCs w:val="22"/>
        </w:rPr>
        <w:t>, EDS: …………..</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1"/>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prodává touto smlouvou kupujícímu požární přívěs se vším příslušenstvím a součástmi, a se všemi právy a povinnostmi, za dohodnutou kupní cenu dle čl. II odst. 1 této smlouvy a kupující tento předmět koupě za dohodnutou kupní cenu kupuje a do svého výlučného vlastnictví přejímá.</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Kupní cena</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 xml:space="preserve">Kupní cena byla dohodou smluvních stran stanovena na …………..,- Kč (slovy: …………….  korunčeských) bez DPH. </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2"/>
        </w:numPr>
        <w:tabs>
          <w:tab w:val="clear" w:pos="709"/>
          <w:tab w:val="left" w:pos="852" w:leader="none"/>
          <w:tab w:val="left" w:pos="1277" w:leader="none"/>
        </w:tabs>
        <w:ind w:left="426" w:hanging="426"/>
        <w:jc w:val="both"/>
        <w:rPr/>
      </w:pPr>
      <w:r>
        <w:rPr>
          <w:rFonts w:cs="Arial" w:ascii="Arial" w:hAnsi="Arial"/>
          <w:sz w:val="22"/>
          <w:szCs w:val="22"/>
        </w:rPr>
        <w:t>Kupující zaplatí prodávajícímu dohodnutou kupní cenu dle čl. II odst. 1 této smlouvy formou bezhotovostního převodu na účet prodávajícího č. ………., var. symbol: …….. bude doplněn dle čísla faktury, nejpozději do 30 dnů ode dne předání požárního přívěsu s veškerými doklady nezbytnými pro řádný provoz a údržbu kupujícímu. Zaplacením se pro účely této smlouvy rozumí odepsání příslušné částky z účtu kupujícího.</w:t>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Nejpozději s předáním požárního přívěsu je prodávající povinen předat kupujícímu též fakturu na zaplacení kupní ceny se splatností 30 dnů od jejího doručení. Pro případ nedodržení sjednané doby předání faktury, běží pro kupujícího sjednaná doba zaplacení kupní ceny posunutá o počet dní, kdy faktura nebyla kupujícímu doručena včas a řádně.</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 případ prodlení kupujícího s úhradou kupní ceny nebo její části sjednávají smluvní strany smluvní pokutu ve výši 0,1% z dlužné částky za každý i započatý den prodlení s úhradou kupní ceny. Smluvní pokutu je kupující povinen zaplatit na účet prodávajícího uvedený v čl. II odst. 2 této smlouvy.</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III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Stav předmětu koupě</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3"/>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prohlašuje, že kupujícího seznámil se stavem požárního přívěsu, že tento nemá žádné faktické vady bránící v jeho užívání.</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3"/>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prohlašuje, že na požárním přívěsu neváznou žádné právní vady bránící nebo omezující vlastníka ve volné dispozici s požárním přívěsem.</w:t>
      </w:r>
    </w:p>
    <w:p>
      <w:pPr>
        <w:pStyle w:val="Normal"/>
        <w:tabs>
          <w:tab w:val="clear" w:pos="709"/>
          <w:tab w:val="left" w:pos="852" w:leader="none"/>
          <w:tab w:val="left" w:pos="1277" w:leader="none"/>
        </w:tabs>
        <w:ind w:left="426" w:hanging="426"/>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IV</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Předání předmětu koupě, přechod vlastnického práva</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 xml:space="preserve">Prodávající je povinen předat kupujícímu požární přívěs nejpozději do </w:t>
      </w:r>
      <w:r>
        <w:rPr>
          <w:rFonts w:cs="Arial" w:ascii="Arial" w:hAnsi="Arial"/>
          <w:b/>
          <w:bCs/>
          <w:sz w:val="22"/>
          <w:szCs w:val="22"/>
        </w:rPr>
        <w:t>15</w:t>
      </w:r>
      <w:r>
        <w:rPr>
          <w:rFonts w:cs="Arial" w:ascii="Arial" w:hAnsi="Arial"/>
          <w:b/>
          <w:bCs/>
          <w:sz w:val="22"/>
          <w:szCs w:val="22"/>
          <w:shd w:fill="auto" w:val="clear"/>
        </w:rPr>
        <w:t>.12.2025</w:t>
      </w:r>
      <w:r>
        <w:rPr>
          <w:rFonts w:cs="Arial" w:ascii="Arial" w:hAnsi="Arial"/>
          <w:b/>
          <w:bCs/>
          <w:color w:val="000000"/>
          <w:sz w:val="22"/>
          <w:szCs w:val="22"/>
          <w:shd w:fill="auto" w:val="clear"/>
        </w:rPr>
        <w:t>.</w:t>
      </w:r>
      <w:r>
        <w:rPr>
          <w:rFonts w:cs="Arial" w:ascii="Arial" w:hAnsi="Arial"/>
          <w:sz w:val="22"/>
          <w:szCs w:val="22"/>
          <w:shd w:fill="auto" w:val="clear"/>
        </w:rPr>
        <w:t xml:space="preserve"> </w:t>
      </w:r>
      <w:r>
        <w:rPr>
          <w:rFonts w:cs="Arial" w:ascii="Arial" w:hAnsi="Arial"/>
          <w:sz w:val="22"/>
          <w:szCs w:val="22"/>
        </w:rPr>
        <w:t>O předání požárního přívěsu prodávajícím a o jeho převzetí kupujícím bude sepsán předávací protokol.</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doloží návody a příslušné doklady (homologace, certifikát, prohlášení o shodě) ke všem položkám požárního příslušenství a ke všem zařízením, které byly použity pro montáž do požárního přívěsu.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Nebezpečí vzniku škod na požárním přívěsu, jakož i právo požární přívěs užívat, přechází na kupujícího převzetím požárního přívěsu.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Prodávající si v souladu s  ust. § 2132 a násl. občanského zákoníku vyhrazuje k  požárnímu přívěsu vlastnické právo. Vlastnické právo k předmětu koupě přechází na kupujícího předáním a převzetím požárního přívěsu.</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Na nákup požárního přívěsu jsou použity finanční prostředky ze státního rozpočtu a rozpočtu Kraje Vysočina. V případě nedodržení předání požárního přívěsu v termínu dle odstavce1, článku IV, může kupující ztratit nárok na přiznání dotací. V takovém případě je prodávající povinen kupujícímu uhradit částku 750 000,- Kč, jako náhradu škody, která kupujícímu vznikla nepřiznáním příslušných dotací.</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Čl.V</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Závěrečná ustanovení</w:t>
      </w:r>
    </w:p>
    <w:p>
      <w:pPr>
        <w:pStyle w:val="Normal"/>
        <w:tabs>
          <w:tab w:val="clear" w:pos="709"/>
          <w:tab w:val="left" w:pos="426" w:leader="none"/>
          <w:tab w:val="left" w:pos="851" w:leader="none"/>
        </w:tabs>
        <w:jc w:val="center"/>
        <w:rPr>
          <w:rFonts w:ascii="Arial" w:hAnsi="Arial" w:cs="Arial"/>
          <w:sz w:val="22"/>
          <w:szCs w:val="22"/>
        </w:rPr>
      </w:pPr>
      <w:r>
        <w:rPr>
          <w:rFonts w:cs="Arial" w:ascii="Arial" w:hAnsi="Arial"/>
          <w:sz w:val="22"/>
          <w:szCs w:val="22"/>
        </w:rPr>
      </w:r>
    </w:p>
    <w:p>
      <w:pPr>
        <w:pStyle w:val="ListParagraph"/>
        <w:tabs>
          <w:tab w:val="clear" w:pos="709"/>
          <w:tab w:val="left" w:pos="426" w:leader="none"/>
          <w:tab w:val="left" w:pos="851" w:leader="none"/>
        </w:tabs>
        <w:ind w:left="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 xml:space="preserve">Tato smlouva byla projednána na schůzi zasedání Rady města Nové Město na Moravě </w:t>
      </w:r>
      <w:r>
        <w:rPr>
          <w:rFonts w:cs="Arial" w:ascii="Arial" w:hAnsi="Arial"/>
          <w:sz w:val="22"/>
          <w:szCs w:val="22"/>
          <w:shd w:fill="auto" w:val="clear"/>
        </w:rPr>
        <w:t xml:space="preserve">č. .. konané dne  </w:t>
      </w:r>
      <w:r>
        <w:rPr>
          <w:rFonts w:cs="Arial" w:ascii="Arial" w:hAnsi="Arial"/>
          <w:sz w:val="22"/>
          <w:szCs w:val="22"/>
          <w:shd w:fill="auto" w:val="clear"/>
        </w:rPr>
        <w:t>4.8.2025</w:t>
      </w:r>
      <w:r>
        <w:rPr>
          <w:rFonts w:cs="Arial" w:ascii="Arial" w:hAnsi="Arial"/>
          <w:sz w:val="22"/>
          <w:szCs w:val="22"/>
          <w:shd w:fill="auto" w:val="clear"/>
        </w:rPr>
        <w:t xml:space="preserve"> a schválena usnesením přijatým pod č. Usnesení ../../RM/202</w:t>
      </w:r>
      <w:r>
        <w:rPr>
          <w:rFonts w:cs="Arial" w:ascii="Arial" w:hAnsi="Arial"/>
          <w:sz w:val="22"/>
          <w:szCs w:val="22"/>
          <w:shd w:fill="auto" w:val="clear"/>
        </w:rPr>
        <w:t>5</w:t>
      </w:r>
      <w:r>
        <w:rPr>
          <w:rFonts w:cs="Arial" w:ascii="Arial" w:hAnsi="Arial"/>
          <w:sz w:val="22"/>
          <w:szCs w:val="22"/>
          <w:shd w:fill="auto" w:val="clear"/>
        </w:rPr>
        <w:t>.</w:t>
      </w:r>
    </w:p>
    <w:p>
      <w:pPr>
        <w:pStyle w:val="ListParagraph"/>
        <w:tabs>
          <w:tab w:val="clear" w:pos="709"/>
          <w:tab w:val="left" w:pos="852" w:leader="none"/>
          <w:tab w:val="left" w:pos="1277" w:leader="none"/>
        </w:tabs>
        <w:ind w:left="426" w:hanging="426"/>
        <w:jc w:val="both"/>
        <w:rPr>
          <w:rFonts w:ascii="Arial" w:hAnsi="Arial" w:cs="Arial"/>
          <w:strike/>
          <w:sz w:val="22"/>
          <w:szCs w:val="22"/>
        </w:rPr>
      </w:pPr>
      <w:r>
        <w:rPr>
          <w:rFonts w:cs="Arial" w:ascii="Arial" w:hAnsi="Arial"/>
          <w:strike/>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Tuto smlouvu lze měnit a doplňovat pouze formou písemných, vzestupně číslovaných dodatků podepsaných oběma smluvními stranami.</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Vztahy smluvních stran touto smlouvou neupravené se řídí příslušnými ustanoveními občanského zákoníku.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 xml:space="preserve">Tato smlouva byla sepsána ve třech vyhotoveních s platností originálu, prodávající obdrží jedno vyhotovení a kupující dvě vyhotovení této smlouvy.  </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color w:val="000000"/>
          <w:sz w:val="22"/>
          <w:szCs w:val="22"/>
        </w:rPr>
        <w:t>Prodávající podpisem této smlouvy souhlasí s jejím uveřejněním v registru smluv dle zákona č. 340/2015 Sb., o zvláštních podmínkách účinnosti některých smluv, uveřejňování těchto smluv a o registru smluv (zákon o registru smluv).</w:t>
      </w:r>
    </w:p>
    <w:p>
      <w:pPr>
        <w:pStyle w:val="ListParagraph"/>
        <w:tabs>
          <w:tab w:val="clear" w:pos="709"/>
          <w:tab w:val="left" w:pos="852" w:leader="none"/>
          <w:tab w:val="left" w:pos="1277" w:leader="none"/>
        </w:tabs>
        <w:ind w:left="780" w:hanging="0"/>
        <w:jc w:val="both"/>
        <w:rPr>
          <w:rFonts w:ascii="Arial" w:hAnsi="Arial" w:cs="Arial"/>
          <w:color w:val="000000"/>
          <w:sz w:val="22"/>
          <w:szCs w:val="22"/>
        </w:rPr>
      </w:pPr>
      <w:r>
        <w:rPr>
          <w:rFonts w:cs="Arial" w:ascii="Arial" w:hAnsi="Arial"/>
          <w:color w:val="000000"/>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color w:val="000000"/>
          <w:sz w:val="22"/>
          <w:szCs w:val="22"/>
        </w:rPr>
      </w:pPr>
      <w:r>
        <w:rPr>
          <w:rFonts w:cs="Arial" w:ascii="Arial" w:hAnsi="Arial"/>
          <w:color w:val="000000"/>
          <w:sz w:val="22"/>
          <w:szCs w:val="22"/>
        </w:rPr>
        <w:t>Smluvní strany se dohodly, že stranou povinnou k uveřejnění této smlouvy v centrálním registru smluv  podle zákona č. 340/2015 Sb., o zvláštních podmínkách účinnosti některých smluv, uveřejňování těchto smluv a o registru smluv ("zákon o registru smluv") je město Nové Město na Moravě, které je povinno tuto smlouvu bez zbytečného odkladu, nejpozději však do 30 dnů od uzavření smlouvy odeslat k uveřejnění v registru smluv.</w:t>
      </w:r>
    </w:p>
    <w:p>
      <w:pPr>
        <w:pStyle w:val="ListParagraph"/>
        <w:tabs>
          <w:tab w:val="clear" w:pos="709"/>
          <w:tab w:val="left" w:pos="852" w:leader="none"/>
          <w:tab w:val="left" w:pos="1277" w:leader="none"/>
        </w:tabs>
        <w:ind w:left="426" w:hanging="426"/>
        <w:jc w:val="both"/>
        <w:rPr/>
      </w:pPr>
      <w:r>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Smluvní strany shodně prohlašují, že žádné ustanovení v této smlouvě nemá charakter obchodního tajemství, jež by požívalo zvláštní ochrany.</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Kupujícímu svědčí zákonné zmocnění (zák. č. 89/2012 Sb., občanský zákoník, zák. č. 128/2000 Sb., o obcích) ke shromažďování, nakládání a zpracovávání osobních údajů v souvislosti s uzavřením této smlouvy.</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Smluvní strany prohlašují, že si tuto smlouvu přečetly, že tato byla sepsána na základě jejich pravé a svobodné vůle, nikoli v tísni ani za nápadně nevýhodných podmínek, a na důkaz toho připojují své podpisy.</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s>
        <w:jc w:val="both"/>
        <w:rPr/>
      </w:pPr>
      <w:r>
        <w:rPr/>
      </w:r>
    </w:p>
    <w:p>
      <w:pPr>
        <w:pStyle w:val="ListParagraph"/>
        <w:tabs>
          <w:tab w:val="clear" w:pos="709"/>
          <w:tab w:val="left" w:pos="852" w:leader="none"/>
          <w:tab w:val="left" w:pos="1277" w:leader="none"/>
        </w:tabs>
        <w:ind w:left="426" w:hanging="426"/>
        <w:jc w:val="both"/>
        <w:rPr/>
      </w:pPr>
      <w:r>
        <w:rPr>
          <w:rFonts w:cs="Arial" w:ascii="Arial" w:hAnsi="Arial"/>
          <w:sz w:val="22"/>
          <w:szCs w:val="22"/>
        </w:rPr>
        <w:t xml:space="preserve">Příloha č. 1 </w:t>
      </w:r>
    </w:p>
    <w:p>
      <w:pPr>
        <w:pStyle w:val="ListParagraph"/>
        <w:tabs>
          <w:tab w:val="clear" w:pos="709"/>
          <w:tab w:val="left" w:pos="852" w:leader="none"/>
          <w:tab w:val="left" w:pos="1277" w:leader="none"/>
        </w:tabs>
        <w:ind w:left="426" w:hanging="426"/>
        <w:jc w:val="both"/>
        <w:rPr/>
      </w:pPr>
      <w:r>
        <w:rPr>
          <w:rFonts w:cs="Arial" w:ascii="Arial" w:hAnsi="Arial"/>
          <w:sz w:val="22"/>
          <w:szCs w:val="22"/>
        </w:rPr>
        <w:t xml:space="preserve">-  Technické podmínky pro požární přívěs pro SDH Maršovice, EDS: </w:t>
      </w:r>
      <w:r>
        <w:rPr>
          <w:rFonts w:cs="Arial" w:ascii="Arial" w:hAnsi="Arial"/>
          <w:sz w:val="22"/>
          <w:szCs w:val="22"/>
          <w:shd w:fill="FFFF00" w:val="clear"/>
        </w:rPr>
        <w:t>…………...</w:t>
      </w:r>
      <w:r>
        <w:rPr>
          <w:rFonts w:cs="Arial" w:ascii="Arial" w:hAnsi="Arial"/>
          <w:sz w:val="22"/>
          <w:szCs w:val="22"/>
        </w:rPr>
        <w:t>.</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t>V ………. dne …...</w:t>
        <w:tab/>
        <w:t xml:space="preserve">V  Novém Městě na Moravě dne </w:t>
      </w:r>
    </w:p>
    <w:p>
      <w:pPr>
        <w:pStyle w:val="Normal"/>
        <w:tabs>
          <w:tab w:val="clear" w:pos="709"/>
          <w:tab w:val="left" w:pos="426" w:leader="none"/>
          <w:tab w:val="left" w:pos="851" w:leader="none"/>
          <w:tab w:val="left" w:pos="5103" w:leader="none"/>
        </w:tabs>
        <w:jc w:val="both"/>
        <w:rPr/>
      </w:pPr>
      <w:r>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pPr>
      <w:r>
        <w:rPr>
          <w:rFonts w:cs="Arial" w:ascii="Arial" w:hAnsi="Arial"/>
          <w:bCs/>
          <w:color w:val="000000"/>
          <w:sz w:val="22"/>
          <w:szCs w:val="22"/>
        </w:rPr>
        <w:t>Prodávající</w:t>
      </w:r>
      <w:r>
        <w:rPr>
          <w:rFonts w:cs="Arial" w:ascii="Arial" w:hAnsi="Arial"/>
          <w:color w:val="000000"/>
          <w:sz w:val="22"/>
          <w:szCs w:val="22"/>
        </w:rPr>
        <w:t xml:space="preserve">: </w:t>
        <w:tab/>
        <w:t>Kupující:</w:t>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pPr>
      <w:r>
        <w:rPr>
          <w:rFonts w:eastAsia="Arial" w:cs="Arial" w:ascii="Arial" w:hAnsi="Arial"/>
          <w:color w:val="000000"/>
          <w:sz w:val="22"/>
          <w:szCs w:val="22"/>
        </w:rPr>
        <w:t xml:space="preserve">……………………………………… </w:t>
      </w:r>
      <w:r>
        <w:rPr>
          <w:rFonts w:cs="Arial" w:ascii="Arial" w:hAnsi="Arial"/>
          <w:color w:val="000000"/>
          <w:sz w:val="22"/>
          <w:szCs w:val="22"/>
        </w:rPr>
        <w:tab/>
        <w:t>………………………………………</w:t>
      </w:r>
    </w:p>
    <w:p>
      <w:pPr>
        <w:pStyle w:val="Normal"/>
        <w:tabs>
          <w:tab w:val="clear" w:pos="709"/>
          <w:tab w:val="center" w:pos="1701" w:leader="none"/>
          <w:tab w:val="center" w:pos="6804" w:leader="none"/>
        </w:tabs>
        <w:jc w:val="both"/>
        <w:rPr/>
      </w:pPr>
      <w:r>
        <w:rPr>
          <w:rFonts w:eastAsia="Arial" w:cs="Arial" w:ascii="Arial" w:hAnsi="Arial"/>
          <w:sz w:val="22"/>
          <w:szCs w:val="22"/>
        </w:rPr>
        <w:t xml:space="preserve">    </w:t>
      </w:r>
      <w:r>
        <w:rPr>
          <w:rFonts w:eastAsia="Arial" w:cs="Arial" w:ascii="Arial" w:hAnsi="Arial"/>
          <w:sz w:val="22"/>
          <w:szCs w:val="22"/>
        </w:rPr>
        <w:tab/>
        <w:tab/>
        <w:t xml:space="preserve"> Michal Šmarda</w:t>
      </w:r>
    </w:p>
    <w:p>
      <w:pPr>
        <w:pStyle w:val="Normal"/>
        <w:tabs>
          <w:tab w:val="clear" w:pos="709"/>
          <w:tab w:val="center" w:pos="1701" w:leader="none"/>
          <w:tab w:val="center" w:pos="6804" w:leader="none"/>
        </w:tabs>
        <w:jc w:val="both"/>
        <w:rPr/>
      </w:pPr>
      <w:r>
        <w:rPr>
          <w:rFonts w:eastAsia="Arial" w:cs="Arial" w:ascii="Arial" w:hAnsi="Arial"/>
          <w:sz w:val="22"/>
          <w:szCs w:val="22"/>
        </w:rPr>
        <w:t xml:space="preserve">        </w:t>
      </w:r>
      <w:r>
        <w:rPr>
          <w:rFonts w:cs="Arial" w:ascii="Arial" w:hAnsi="Arial"/>
          <w:sz w:val="22"/>
          <w:szCs w:val="22"/>
        </w:rPr>
        <w:tab/>
        <w:tab/>
        <w:t xml:space="preserve">  starosta</w:t>
      </w:r>
    </w:p>
    <w:sectPr>
      <w:type w:val="nextPage"/>
      <w:pgSz w:w="11906" w:h="16838"/>
      <w:pgMar w:left="1134" w:right="1134" w:gutter="0" w:header="0" w:top="1065" w:footer="0" w:bottom="102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CD Fedra Book">
    <w:altName w:val="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0" w:hanging="42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80" w:hanging="42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cs-CZ"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sz w:val="22"/>
      <w:szCs w:val="22"/>
      <w:shd w:fill="auto" w:val="clear"/>
    </w:rPr>
  </w:style>
  <w:style w:type="character" w:styleId="WW8Num2z0" w:customStyle="1">
    <w:name w:val="WW8Num2z0"/>
    <w:qFormat/>
    <w:rPr>
      <w:rFonts w:ascii="Arial" w:hAnsi="Arial" w:cs="Arial"/>
      <w:sz w:val="22"/>
      <w:szCs w:val="22"/>
    </w:rPr>
  </w:style>
  <w:style w:type="character" w:styleId="WW8Num3z0" w:customStyle="1">
    <w:name w:val="WW8Num3z0"/>
    <w:qFormat/>
    <w:rPr>
      <w:rFonts w:ascii="Arial" w:hAnsi="Arial" w:cs="Arial"/>
      <w:b w:val="false"/>
      <w:color w:val="000000"/>
      <w:sz w:val="22"/>
      <w:szCs w:val="22"/>
    </w:rPr>
  </w:style>
  <w:style w:type="character" w:styleId="WW8Num4z0" w:customStyle="1">
    <w:name w:val="WW8Num4z0"/>
    <w:qFormat/>
    <w:rPr>
      <w:rFonts w:ascii="Arial" w:hAnsi="Arial" w:cs="Arial"/>
      <w:b w:val="false"/>
      <w:color w:val="000000"/>
      <w:sz w:val="22"/>
      <w:szCs w:val="22"/>
    </w:rPr>
  </w:style>
  <w:style w:type="character" w:styleId="WW8Num5z0" w:customStyle="1">
    <w:name w:val="WW8Num5z0"/>
    <w:qFormat/>
    <w:rPr>
      <w:rFonts w:ascii="Arial" w:hAnsi="Arial" w:cs="Arial"/>
      <w:b w:val="false"/>
      <w:color w:val="000000"/>
      <w:sz w:val="22"/>
      <w:szCs w:val="22"/>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nnotationreference">
    <w:name w:val="annotation reference"/>
    <w:basedOn w:val="DefaultParagraphFont"/>
    <w:qFormat/>
    <w:rPr>
      <w:sz w:val="16"/>
      <w:szCs w:val="16"/>
    </w:rPr>
  </w:style>
  <w:style w:type="character" w:styleId="Silnzdraznn" w:customStyle="1">
    <w:name w:val="Silné zdůraznění"/>
    <w:basedOn w:val="DefaultParagraphFont"/>
    <w:qFormat/>
    <w:rPr>
      <w:b/>
      <w:bCs/>
    </w:rPr>
  </w:style>
  <w:style w:type="paragraph" w:styleId="Nadpis" w:customStyle="1">
    <w:name w:val="Nadpis"/>
    <w:basedOn w:val="Normal"/>
    <w:next w:val="Tlotextu"/>
    <w:qFormat/>
    <w:pPr>
      <w:keepNext w:val="true"/>
      <w:spacing w:before="240" w:after="120"/>
    </w:pPr>
    <w:rPr>
      <w:rFonts w:ascii="Liberation Sans;Arial" w:hAnsi="Liberation Sans;Arial" w:eastAsia="Microsoft YaHei"/>
      <w:sz w:val="28"/>
      <w:szCs w:val="28"/>
    </w:rPr>
  </w:style>
  <w:style w:type="paragraph" w:styleId="Tlotextu">
    <w:name w:val="Body Text"/>
    <w:basedOn w:val="Normal"/>
    <w:pPr>
      <w:spacing w:before="0" w:after="120"/>
    </w:pPr>
    <w:rPr/>
  </w:style>
  <w:style w:type="paragraph" w:styleId="Seznam">
    <w:name w:val="List"/>
    <w:basedOn w:val="Tlotextu"/>
    <w:pPr/>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ind w:left="720" w:hanging="0"/>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3</Pages>
  <Words>909</Words>
  <Characters>5181</Characters>
  <CharactersWithSpaces>6066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2025-07-02T13:48:00Z</dcterms:created>
  <dc:creator>Kos Petr</dc:creator>
  <dc:description/>
  <dc:language>cs-CZ</dc:language>
  <cp:lastModifiedBy/>
  <cp:lastPrinted>2025-06-23T09:24:00Z</cp:lastPrinted>
  <dcterms:modified xsi:type="dcterms:W3CDTF">2025-07-22T09:51:44Z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