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color w:val="0000FF"/>
          <w:sz w:val="20"/>
          <w:szCs w:val="20"/>
        </w:rPr>
      </w:pPr>
      <w:r>
        <w:rPr>
          <w:rFonts w:cs="Times New Roman" w:ascii="Times New Roman" w:hAnsi="Times New Roman"/>
          <w:i w:val="false"/>
          <w:sz w:val="20"/>
          <w:szCs w:val="20"/>
        </w:rPr>
        <w:t xml:space="preserve"> </w:t>
      </w:r>
      <w:r>
        <w:rPr>
          <w:sz w:val="20"/>
          <w:szCs w:val="20"/>
        </w:rPr>
        <w:t>Oprava technického zařízení v bytovém domě Tyršova č.p. 731 v Novém Městě na Moravě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Oprava TZ 731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>Oprava TZ 731</w:t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7c5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e47c5c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e47c5c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e47c5c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e47c5c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e47c5c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Seznam2">
    <w:name w:val="List Bullet 3"/>
    <w:basedOn w:val="Normal"/>
    <w:rsid w:val="00e47c5c"/>
    <w:pPr>
      <w:ind w:left="566" w:hanging="283"/>
    </w:pPr>
    <w:rPr/>
  </w:style>
  <w:style w:type="paragraph" w:styleId="Nzev">
    <w:name w:val="Title"/>
    <w:basedOn w:val="Normal"/>
    <w:qFormat/>
    <w:rsid w:val="00e47c5c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e47c5c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e47c5c"/>
    <w:pPr/>
    <w:rPr/>
  </w:style>
  <w:style w:type="paragraph" w:styleId="Annotationtext">
    <w:name w:val="annotation text"/>
    <w:basedOn w:val="Normal"/>
    <w:link w:val="TextkomenteChar"/>
    <w:semiHidden/>
    <w:qFormat/>
    <w:rsid w:val="00e47c5c"/>
    <w:pPr/>
    <w:rPr/>
  </w:style>
  <w:style w:type="paragraph" w:styleId="Odrky" w:customStyle="1">
    <w:name w:val="odr‡ěky"/>
    <w:basedOn w:val="Normal"/>
    <w:qFormat/>
    <w:rsid w:val="00e47c5c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</TotalTime>
  <Application>LibreOffice/7.2.7.2$Windows_X86_64 LibreOffice_project/8d71d29d553c0f7dcbfa38fbfda25ee34cce99a2</Application>
  <AppVersion>15.0000</AppVersion>
  <Pages>3</Pages>
  <Words>218</Words>
  <Characters>1361</Characters>
  <CharactersWithSpaces>1741</CharactersWithSpaces>
  <Paragraphs>41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/>
  <cp:lastPrinted>2013-04-22T13:00:00Z</cp:lastPrinted>
  <dcterms:modified xsi:type="dcterms:W3CDTF">2024-01-11T09:31:12Z</dcterms:modified>
  <cp:revision>5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