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 w:val="22"/>
          <w:szCs w:val="22"/>
        </w:rPr>
        <w:t>Stanislavem Markem</w:t>
      </w:r>
      <w:r>
        <w:rPr>
          <w:szCs w:val="22"/>
        </w:rPr>
        <w:t>, místostarostou</w:t>
      </w:r>
    </w:p>
    <w:p>
      <w:pPr>
        <w:pStyle w:val="Styl11bPed6b"/>
        <w:tabs>
          <w:tab w:val="left" w:pos="709" w:leader="none"/>
        </w:tabs>
        <w:spacing w:before="0" w:after="0"/>
        <w:rPr>
          <w:szCs w:val="22"/>
        </w:rPr>
      </w:pPr>
      <w:r>
        <w:rPr>
          <w:szCs w:val="22"/>
        </w:rPr>
        <w:tab/>
        <w:t xml:space="preserve">ve věcech technických je oprávněn jednat: Ing. </w:t>
      </w:r>
      <w:r>
        <w:rPr>
          <w:sz w:val="22"/>
          <w:szCs w:val="22"/>
        </w:rPr>
        <w:t>Radek Fila</w:t>
      </w:r>
      <w:r>
        <w:rPr>
          <w:szCs w:val="22"/>
        </w:rPr>
        <w:t xml:space="preserve">, vedoucí odboru </w:t>
      </w:r>
      <w:r>
        <w:rPr>
          <w:sz w:val="22"/>
          <w:szCs w:val="22"/>
        </w:rPr>
        <w:t>SMM</w:t>
      </w:r>
      <w:r>
        <w:rPr>
          <w:szCs w:val="22"/>
        </w:rPr>
        <w:t xml:space="preserve">         </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PŘÍKAZNí   smlouvU</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b/>
          <w:sz w:val="22"/>
          <w:szCs w:val="22"/>
        </w:rPr>
        <w:t>„Rekonstrukce mostu ve Slavkovicích“</w:t>
      </w:r>
      <w:r>
        <w:rPr>
          <w:sz w:val="22"/>
          <w:szCs w:val="22"/>
        </w:rPr>
        <w:t xml:space="preserve"> podle podmínek smlouvy o dílo uzavřené se zhotovitelem díla.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díla „Rekonstrukce mostu ve Slavkovicích“ zhotovitelem díla včas, řádně a kvalitně, v souladu se smlouvou o dílo uzavřenou mezi příkazcem a zhotovitelem díla, za sjednanou smluvní cenu</w:t>
      </w:r>
    </w:p>
    <w:p>
      <w:pPr>
        <w:pStyle w:val="Normal"/>
        <w:numPr>
          <w:ilvl w:val="1"/>
          <w:numId w:val="15"/>
        </w:numPr>
        <w:jc w:val="both"/>
        <w:rPr>
          <w:sz w:val="22"/>
          <w:szCs w:val="22"/>
        </w:rPr>
      </w:pPr>
      <w:r>
        <w:rPr>
          <w:sz w:val="22"/>
          <w:szCs w:val="22"/>
        </w:rPr>
        <w:t>úspěšné uvedení díla „Rekonstrukce mostu ve Slavkovicích“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díla </w:t>
      </w:r>
      <w:r>
        <w:rPr>
          <w:b/>
          <w:color w:val="auto"/>
          <w:sz w:val="22"/>
          <w:szCs w:val="22"/>
        </w:rPr>
        <w:t>„Rekonstrukce mostu ve Slavkovicích“</w:t>
      </w:r>
      <w:r>
        <w:rPr>
          <w:color w:val="auto"/>
          <w:sz w:val="22"/>
          <w:szCs w:val="22"/>
        </w:rPr>
        <w:t xml:space="preserve"> (dále jen „dílo“) podle podmínek smlouvy o dílo uzavřené se zhotovitelem díla. Dílo je blíže specifikováno projektovou dokumentací pro výběr zhotovitele stavby „Rekonstrukce mostu Slavkovice“ zpracovanou Ing. Jiřím Červinkou v 11/2021 pod číslem zakázky 19E07 (dále jen „projektová dokumentace“).</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díla</w:t>
      </w:r>
    </w:p>
    <w:p>
      <w:pPr>
        <w:pStyle w:val="Tlotextu"/>
        <w:numPr>
          <w:ilvl w:val="1"/>
          <w:numId w:val="1"/>
        </w:numPr>
        <w:spacing w:before="80" w:after="0"/>
        <w:rPr>
          <w:color w:val="auto"/>
          <w:sz w:val="22"/>
          <w:szCs w:val="22"/>
        </w:rPr>
      </w:pPr>
      <w:r>
        <w:rPr>
          <w:color w:val="auto"/>
          <w:sz w:val="22"/>
          <w:szCs w:val="22"/>
        </w:rPr>
        <w:t xml:space="preserve">činnosti v průběhu provádění díla </w:t>
      </w:r>
    </w:p>
    <w:p>
      <w:pPr>
        <w:pStyle w:val="Tlotextu"/>
        <w:numPr>
          <w:ilvl w:val="1"/>
          <w:numId w:val="1"/>
        </w:numPr>
        <w:spacing w:before="80" w:after="0"/>
        <w:rPr>
          <w:sz w:val="22"/>
          <w:szCs w:val="22"/>
        </w:rPr>
      </w:pPr>
      <w:r>
        <w:rPr>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díla jsou ukončeny dnem zahájení stavebních prací</w:t>
      </w:r>
    </w:p>
    <w:p>
      <w:pPr>
        <w:pStyle w:val="Seznam"/>
        <w:numPr>
          <w:ilvl w:val="0"/>
          <w:numId w:val="8"/>
        </w:numPr>
        <w:jc w:val="both"/>
        <w:rPr>
          <w:sz w:val="22"/>
          <w:szCs w:val="22"/>
        </w:rPr>
      </w:pPr>
      <w:r>
        <w:rPr>
          <w:sz w:val="22"/>
          <w:szCs w:val="22"/>
        </w:rPr>
        <w:t>činnosti v průběhu provádění díla končí dnem podpisu zápisu o předání a převzetí dokončeného díla mezi příkazcem a zhotovitelem díla</w:t>
      </w:r>
    </w:p>
    <w:p>
      <w:pPr>
        <w:pStyle w:val="Seznam"/>
        <w:numPr>
          <w:ilvl w:val="0"/>
          <w:numId w:val="8"/>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pPr>
      <w:r>
        <w:rPr>
          <w:sz w:val="22"/>
          <w:szCs w:val="22"/>
        </w:rPr>
        <w:t>zahájení stavby:</w:t>
        <w:tab/>
      </w:r>
      <w:r>
        <w:rPr>
          <w:rFonts w:eastAsia="Times New Roman" w:cs="Times New Roman"/>
          <w:color w:val="auto"/>
          <w:kern w:val="0"/>
          <w:sz w:val="22"/>
          <w:szCs w:val="22"/>
          <w:lang w:val="cs-CZ" w:eastAsia="cs-CZ" w:bidi="ar-SA"/>
        </w:rPr>
        <w:t>nejpozději do 2</w:t>
      </w:r>
      <w:r>
        <w:rPr>
          <w:sz w:val="22"/>
          <w:szCs w:val="22"/>
        </w:rPr>
        <w:t>.05.2022</w:t>
      </w:r>
    </w:p>
    <w:p>
      <w:pPr>
        <w:pStyle w:val="Seznam"/>
        <w:numPr>
          <w:ilvl w:val="1"/>
          <w:numId w:val="2"/>
        </w:numPr>
        <w:spacing w:before="80" w:after="0"/>
        <w:ind w:left="709" w:hanging="363"/>
        <w:rPr>
          <w:sz w:val="22"/>
          <w:szCs w:val="22"/>
        </w:rPr>
      </w:pPr>
      <w:r>
        <w:rPr>
          <w:sz w:val="22"/>
          <w:szCs w:val="22"/>
        </w:rPr>
        <w:t xml:space="preserve">dokončení stavby: </w:t>
        <w:tab/>
        <w:t>15.06.2022</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díla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pPr>
        <w:pStyle w:val="Tlotextu"/>
        <w:numPr>
          <w:ilvl w:val="1"/>
          <w:numId w:val="6"/>
        </w:numPr>
        <w:spacing w:before="80" w:after="0"/>
        <w:rPr>
          <w:color w:val="auto"/>
          <w:sz w:val="22"/>
          <w:szCs w:val="22"/>
        </w:rPr>
      </w:pPr>
      <w:r>
        <w:rPr>
          <w:color w:val="auto"/>
          <w:sz w:val="22"/>
          <w:szCs w:val="22"/>
        </w:rPr>
        <w:t xml:space="preserve">odměna za činnosti po dokončení díla bude uhrazena po </w:t>
      </w:r>
      <w:r>
        <w:rPr>
          <w:sz w:val="22"/>
          <w:szCs w:val="22"/>
        </w:rPr>
        <w:t>odstranění poslední případné vady či nedodělku (po dni podepsání zápisu o odstranění poslední případné vady či nedodělku).</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dokončeného díla mezi příkazcem a zhotovitelem díla,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díla,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organizuje příkazník ve spolupráci se zhotovitelem díla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díla.</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díla,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jeho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díla.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schůzi dne ……….…. pod bodem …/…/RM/…...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dílo nebude zahájeno do 31.12.2022.</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18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Stanislav Marek</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místostarosta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153670" cy="174625"/>
              <wp:effectExtent l="0" t="0" r="0" b="0"/>
              <wp:wrapSquare wrapText="bothSides"/>
              <wp:docPr id="1" name="Rámec1"/>
              <a:graphic xmlns:a="http://schemas.openxmlformats.org/drawingml/2006/main">
                <a:graphicData uri="http://schemas.microsoft.com/office/word/2010/wordprocessingShape">
                  <wps:wsp>
                    <wps:cNvSpPr/>
                    <wps:spPr>
                      <a:xfrm>
                        <a:off x="0" y="0"/>
                        <a:ext cx="153000" cy="173880"/>
                      </a:xfrm>
                      <a:prstGeom prst="rect">
                        <a:avLst/>
                      </a:prstGeom>
                      <a:noFill/>
                      <a:ln>
                        <a:noFill/>
                      </a:ln>
                    </wps:spPr>
                    <wps:style>
                      <a:lnRef idx="0"/>
                      <a:fillRef idx="0"/>
                      <a:effectRef idx="0"/>
                      <a:fontRef idx="minor"/>
                    </wps:style>
                    <wps:txbx>
                      <w:txbxContent>
                        <w:p>
                          <w:pPr>
                            <w:pStyle w:val="Zpat"/>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lIns="0" rIns="0" tIns="0" bIns="0">
                      <a:spAutoFit/>
                    </wps:bodyPr>
                  </wps:wsp>
                </a:graphicData>
              </a:graphic>
            </wp:anchor>
          </w:drawing>
        </mc:Choice>
        <mc:Fallback>
          <w:pict>
            <v:rect id="shape_0" ID="Rámec1" fillcolor="white" stroked="f" style="position:absolute;margin-left:220.7pt;margin-top:0.05pt;width:12pt;height:13.65pt;mso-position-horizontal:center;mso-position-horizontal-relative:margin">
              <w10:wrap type="square"/>
              <v:fill o:detectmouseclick="t" type="solid" color2="black" opacity="0"/>
              <v:stroke color="#3465a4" joinstyle="round" endcap="flat"/>
              <v:textbox>
                <w:txbxContent>
                  <w:p>
                    <w:pPr>
                      <w:pStyle w:val="Zpat"/>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v:rect>
          </w:pict>
        </mc:Fallback>
      </mc:AlternateContent>
    </w:r>
    <w:r>
      <w:rPr>
        <w:sz w:val="20"/>
        <w:szCs w:val="20"/>
      </w:rPr>
      <w:t>TDS – rekonstrukce mostu ve Slavkovicích</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rFonts w:cs="Symbo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Fonts w:cs="Wingdings"/>
      </w:rPr>
    </w:lvl>
    <w:lvl w:ilvl="3">
      <w:start w:val="1"/>
      <w:numFmt w:val="bullet"/>
      <w:lvlText w:val=""/>
      <w:lvlJc w:val="left"/>
      <w:pPr>
        <w:tabs>
          <w:tab w:val="num" w:pos="2877"/>
        </w:tabs>
        <w:ind w:left="2877" w:hanging="360"/>
      </w:pPr>
      <w:rPr>
        <w:rFonts w:ascii="Symbol" w:hAnsi="Symbol" w:cs="Symbol" w:hint="default"/>
        <w:rFonts w:cs="Symbol"/>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Fonts w:cs="Wingdings"/>
      </w:rPr>
    </w:lvl>
    <w:lvl w:ilvl="6">
      <w:start w:val="1"/>
      <w:numFmt w:val="bullet"/>
      <w:lvlText w:val=""/>
      <w:lvlJc w:val="left"/>
      <w:pPr>
        <w:tabs>
          <w:tab w:val="num" w:pos="5037"/>
        </w:tabs>
        <w:ind w:left="5037" w:hanging="360"/>
      </w:pPr>
      <w:rPr>
        <w:rFonts w:ascii="Symbol" w:hAnsi="Symbol" w:cs="Symbol" w:hint="default"/>
        <w:rFonts w:cs="Symbol"/>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Fonts w:cs="Wingdings"/>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0"/>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fals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A7FDA-1AA9-475F-8877-63378B55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20</TotalTime>
  <Application>LibreOffice/6.3.1.2$Windows_x86 LibreOffice_project/b79626edf0065ac373bd1df5c28bd630b4424273</Application>
  <Pages>10</Pages>
  <Words>3881</Words>
  <Characters>22351</Characters>
  <CharactersWithSpaces>26221</CharactersWithSpaces>
  <Paragraphs>199</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2021-12-15T14:34:00Z</dcterms:created>
  <dc:creator>ing. Jaroslav Dufek</dc:creator>
  <dc:description/>
  <dc:language>cs-CZ</dc:language>
  <cp:lastModifiedBy/>
  <cp:lastPrinted>2013-04-22T13:00:00Z</cp:lastPrinted>
  <dcterms:modified xsi:type="dcterms:W3CDTF">2022-01-05T08:44:50Z</dcterms:modified>
  <cp:revision>8</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Envigest</vt:lpwstr>
  </property>
</Properties>
</file>