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cs="Arial"/>
        </w:rPr>
      </w:pPr>
      <w:r>
        <w:rPr>
          <w:rFonts w:cs="Arial" w:ascii="Arial" w:hAnsi="Arial"/>
        </w:rPr>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08"/>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08"/>
          <w:tab w:val="left" w:pos="3780" w:leader="none"/>
          <w:tab w:val="left" w:pos="3960" w:leader="none"/>
        </w:tabs>
        <w:rPr>
          <w:rFonts w:ascii="Arial" w:hAnsi="Arial" w:cs="Arial"/>
        </w:rPr>
      </w:pPr>
      <w:r>
        <w:rPr>
          <w:rFonts w:cs="Arial" w:ascii="Arial" w:hAnsi="Arial"/>
        </w:rPr>
        <w:t>zastoupené</w:t>
        <w:tab/>
        <w:t>:</w:t>
        <w:tab/>
      </w:r>
      <w:r>
        <w:rPr>
          <w:rFonts w:cs="Arial" w:ascii="Arial" w:hAnsi="Arial"/>
          <w:bCs/>
        </w:rPr>
        <w:t xml:space="preserve">Michalem Šmardou, </w:t>
      </w:r>
      <w:r>
        <w:rPr>
          <w:rFonts w:cs="Arial" w:ascii="Arial" w:hAnsi="Arial"/>
        </w:rPr>
        <w:t xml:space="preserve">starostou města </w:t>
      </w:r>
      <w:r>
        <w:rPr>
          <w:rFonts w:cs="Arial" w:ascii="Arial" w:hAnsi="Arial"/>
          <w:bCs/>
        </w:rPr>
        <w:tab/>
        <w:tab/>
      </w:r>
    </w:p>
    <w:p>
      <w:pPr>
        <w:pStyle w:val="Normal"/>
        <w:tabs>
          <w:tab w:val="clear" w:pos="708"/>
          <w:tab w:val="left" w:pos="3780" w:leader="none"/>
          <w:tab w:val="left" w:pos="3960" w:leader="none"/>
        </w:tabs>
        <w:rPr/>
      </w:pPr>
      <w:r>
        <w:rPr>
          <w:rFonts w:cs="Arial" w:ascii="Arial" w:hAnsi="Arial"/>
        </w:rPr>
        <w:t>ve věcech technických je oprávněn jednat</w:t>
        <w:tab/>
        <w:t>:</w:t>
        <w:tab/>
        <w:t>Ing. Zuzana Janovská</w:t>
      </w:r>
      <w:r>
        <w:rPr>
          <w:rFonts w:cs="Arial" w:ascii="Arial" w:hAnsi="Arial"/>
          <w:bCs/>
        </w:rPr>
        <w:t>, referent odboru investic</w:t>
      </w:r>
    </w:p>
    <w:p>
      <w:pPr>
        <w:pStyle w:val="Normal"/>
        <w:tabs>
          <w:tab w:val="clear" w:pos="708"/>
          <w:tab w:val="left" w:pos="3780" w:leader="none"/>
          <w:tab w:val="left" w:pos="3960" w:leader="none"/>
        </w:tabs>
        <w:rPr>
          <w:rFonts w:ascii="Arial" w:hAnsi="Arial" w:cs="Arial"/>
        </w:rPr>
      </w:pPr>
      <w:r>
        <w:rPr>
          <w:rFonts w:cs="Arial" w:ascii="Arial" w:hAnsi="Arial"/>
          <w:bCs/>
        </w:rPr>
        <w:tab/>
        <w:tab/>
        <w:t>tel.: +420 770 172 138</w:t>
      </w:r>
      <w:r>
        <w:rPr>
          <w:rFonts w:cs="Arial" w:ascii="Arial" w:hAnsi="Arial"/>
        </w:rPr>
        <w:tab/>
      </w:r>
    </w:p>
    <w:p>
      <w:pPr>
        <w:pStyle w:val="Normal"/>
        <w:tabs>
          <w:tab w:val="clear" w:pos="708"/>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08"/>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08"/>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a</w:t>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r>
    </w:p>
    <w:p>
      <w:pPr>
        <w:pStyle w:val="Nadpis2"/>
        <w:numPr>
          <w:ilvl w:val="1"/>
          <w:numId w:val="1"/>
        </w:numPr>
        <w:tabs>
          <w:tab w:val="clear" w:pos="708"/>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08"/>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08"/>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08"/>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08"/>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08"/>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08"/>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08"/>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08"/>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3"/>
        </w:numPr>
        <w:tabs>
          <w:tab w:val="clear" w:pos="708"/>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08"/>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08"/>
          <w:tab w:val="left" w:pos="360" w:leader="none"/>
        </w:tabs>
        <w:ind w:hanging="720"/>
        <w:jc w:val="center"/>
        <w:rPr>
          <w:rFonts w:ascii="Arial" w:hAnsi="Arial" w:cs="Arial"/>
        </w:rPr>
      </w:pPr>
      <w:r>
        <w:rPr>
          <w:rFonts w:eastAsia="Arial" w:cs="Arial" w:ascii="Arial" w:hAnsi="Arial"/>
          <w:b/>
          <w:bCs/>
        </w:rPr>
        <w:t>„</w:t>
      </w:r>
      <w:r>
        <w:rPr>
          <w:rFonts w:eastAsia="Arial" w:cs="Arial" w:ascii="Arial" w:hAnsi="Arial"/>
          <w:b/>
          <w:bCs/>
        </w:rPr>
        <w:t>Přístavba objektu čp. 80 -  Maršovice</w:t>
      </w:r>
      <w:r>
        <w:rPr>
          <w:rFonts w:cs="Arial" w:ascii="Arial" w:hAnsi="Arial"/>
          <w:b/>
          <w:bCs/>
        </w:rPr>
        <w:t>“</w:t>
      </w:r>
    </w:p>
    <w:p>
      <w:pPr>
        <w:pStyle w:val="Normal"/>
        <w:tabs>
          <w:tab w:val="clear" w:pos="708"/>
          <w:tab w:val="left" w:pos="360" w:leader="none"/>
        </w:tabs>
        <w:rPr>
          <w:rFonts w:ascii="Arial" w:hAnsi="Arial" w:cs="Arial"/>
        </w:rPr>
      </w:pPr>
      <w:r>
        <w:rPr>
          <w:rFonts w:cs="Arial" w:ascii="Arial" w:hAnsi="Arial"/>
        </w:rPr>
      </w:r>
    </w:p>
    <w:p>
      <w:pPr>
        <w:pStyle w:val="Normal"/>
        <w:tabs>
          <w:tab w:val="clear" w:pos="708"/>
          <w:tab w:val="left" w:pos="360" w:leader="none"/>
        </w:tabs>
        <w:rPr>
          <w:rFonts w:ascii="Arial" w:hAnsi="Arial" w:cs="Arial"/>
        </w:rPr>
      </w:pPr>
      <w:r>
        <w:rPr>
          <w:rFonts w:cs="Arial" w:ascii="Arial" w:hAnsi="Arial"/>
        </w:rPr>
        <w:t>kat. území Maršovice u Nového Města na Moravě</w:t>
      </w:r>
    </w:p>
    <w:p>
      <w:pPr>
        <w:pStyle w:val="Normal"/>
        <w:tabs>
          <w:tab w:val="clear" w:pos="708"/>
          <w:tab w:val="left" w:pos="360" w:leader="none"/>
        </w:tabs>
        <w:rPr/>
      </w:pPr>
      <w:r>
        <w:rPr>
          <w:rFonts w:cs="Arial" w:ascii="Arial" w:hAnsi="Arial"/>
        </w:rPr>
        <w:t>parc. č. 193/1</w:t>
      </w:r>
    </w:p>
    <w:p>
      <w:pPr>
        <w:pStyle w:val="Normal"/>
        <w:tabs>
          <w:tab w:val="clear" w:pos="708"/>
          <w:tab w:val="left" w:pos="360" w:leader="none"/>
        </w:tabs>
        <w:rPr>
          <w:rFonts w:ascii="Arial" w:hAnsi="Arial" w:cs="Arial"/>
        </w:rPr>
      </w:pPr>
      <w:r>
        <w:rPr>
          <w:rFonts w:cs="Arial" w:ascii="Arial" w:hAnsi="Arial"/>
        </w:rPr>
        <w:t>obec Nové Město na Moravě</w:t>
      </w:r>
    </w:p>
    <w:p>
      <w:pPr>
        <w:pStyle w:val="Normal"/>
        <w:tabs>
          <w:tab w:val="clear" w:pos="708"/>
          <w:tab w:val="left" w:pos="360" w:leader="none"/>
        </w:tabs>
        <w:rPr>
          <w:rFonts w:ascii="Arial" w:hAnsi="Arial" w:cs="Arial"/>
        </w:rPr>
      </w:pPr>
      <w:r>
        <w:rPr>
          <w:rFonts w:cs="Arial" w:ascii="Arial" w:hAnsi="Arial"/>
        </w:rPr>
        <w:t>okr. Žďár nad Sázavou</w:t>
      </w:r>
    </w:p>
    <w:p>
      <w:pPr>
        <w:pStyle w:val="Normal"/>
        <w:tabs>
          <w:tab w:val="clear" w:pos="708"/>
          <w:tab w:val="left" w:pos="360" w:leader="none"/>
        </w:tabs>
        <w:rPr>
          <w:rFonts w:ascii="Arial" w:hAnsi="Arial" w:cs="Arial"/>
        </w:rPr>
      </w:pPr>
      <w:r>
        <w:rPr>
          <w:rFonts w:cs="Arial" w:ascii="Arial" w:hAnsi="Arial"/>
        </w:rPr>
        <w:t>kraj Vysočina</w:t>
      </w:r>
    </w:p>
    <w:p>
      <w:pPr>
        <w:pStyle w:val="Normal"/>
        <w:tabs>
          <w:tab w:val="clear" w:pos="708"/>
          <w:tab w:val="left" w:pos="360" w:leader="none"/>
        </w:tabs>
        <w:jc w:val="both"/>
        <w:rPr>
          <w:rFonts w:ascii="Arial" w:hAnsi="Arial" w:cs="Arial"/>
        </w:rPr>
      </w:pPr>
      <w:r>
        <w:rPr>
          <w:rFonts w:cs="Arial" w:ascii="Arial" w:hAnsi="Arial"/>
        </w:rPr>
        <w:t>stručný popis stavby:</w:t>
      </w:r>
      <w:r>
        <w:rPr>
          <w:rFonts w:cs="Arial" w:ascii="Arial" w:hAnsi="Arial"/>
          <w:b/>
        </w:rPr>
        <w:t xml:space="preserve"> </w:t>
      </w:r>
      <w:r>
        <w:rPr>
          <w:rFonts w:cs="Arial" w:ascii="Arial" w:hAnsi="Arial"/>
          <w:b w:val="false"/>
          <w:bCs w:val="false"/>
        </w:rPr>
        <w:t>přístavba garáže ke stávajícímu objektu bývalé prodejny</w:t>
      </w:r>
    </w:p>
    <w:p>
      <w:pPr>
        <w:pStyle w:val="Normal"/>
        <w:tabs>
          <w:tab w:val="clear" w:pos="708"/>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3"/>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b/>
          <w:b/>
        </w:rPr>
      </w:pPr>
      <w:r>
        <w:rPr>
          <w:rFonts w:cs="Arial" w:ascii="Arial" w:hAnsi="Arial"/>
        </w:rPr>
        <w:t xml:space="preserve">a) zahájení stavby: </w:t>
      </w:r>
      <w:r>
        <w:rPr>
          <w:rFonts w:cs="Arial" w:ascii="Arial" w:hAnsi="Arial"/>
          <w:b/>
        </w:rPr>
        <w:t xml:space="preserve"> 08.04.2024</w:t>
      </w:r>
    </w:p>
    <w:p>
      <w:pPr>
        <w:pStyle w:val="Normal"/>
        <w:jc w:val="both"/>
        <w:rPr>
          <w:rFonts w:ascii="Arial" w:hAnsi="Arial" w:cs="Arial"/>
        </w:rPr>
      </w:pPr>
      <w:r>
        <w:rPr>
          <w:rFonts w:cs="Arial" w:ascii="Arial" w:hAnsi="Arial"/>
        </w:rPr>
        <w:t xml:space="preserve">b) dokončení stavby: </w:t>
      </w:r>
      <w:r>
        <w:rPr>
          <w:rFonts w:cs="Arial" w:ascii="Arial" w:hAnsi="Arial"/>
          <w:b/>
        </w:rPr>
        <w:t xml:space="preserve"> 16.09.2024</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1"/>
        </w:numPr>
        <w:jc w:val="center"/>
        <w:rPr>
          <w:rFonts w:ascii="Arial" w:hAnsi="Arial" w:cs="Arial"/>
        </w:rPr>
      </w:pPr>
      <w:r>
        <w:rPr>
          <w:rFonts w:cs="Arial" w:ascii="Arial" w:hAnsi="Arial"/>
        </w:rPr>
        <w:t xml:space="preserve">III. </w:t>
      </w:r>
    </w:p>
    <w:p>
      <w:pPr>
        <w:pStyle w:val="Nadpis1"/>
        <w:numPr>
          <w:ilvl w:val="0"/>
          <w:numId w:val="1"/>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550,-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450,-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350,-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300,-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2"/>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1"/>
        </w:numPr>
        <w:rPr>
          <w:rFonts w:ascii="Arial" w:hAnsi="Arial" w:cs="Arial"/>
        </w:rPr>
      </w:pPr>
      <w:r>
        <w:rPr>
          <w:rFonts w:cs="Arial" w:ascii="Arial" w:hAnsi="Arial"/>
        </w:rPr>
      </w:r>
    </w:p>
    <w:p>
      <w:pPr>
        <w:pStyle w:val="Nadpis2"/>
        <w:numPr>
          <w:ilvl w:val="1"/>
          <w:numId w:val="1"/>
        </w:numPr>
        <w:jc w:val="center"/>
        <w:rPr>
          <w:rFonts w:ascii="Arial" w:hAnsi="Arial" w:cs="Arial"/>
        </w:rPr>
      </w:pPr>
      <w:r>
        <w:rPr>
          <w:rFonts w:cs="Arial" w:ascii="Arial" w:hAnsi="Arial"/>
        </w:rPr>
        <w:t xml:space="preserve">IV. </w:t>
      </w:r>
    </w:p>
    <w:p>
      <w:pPr>
        <w:pStyle w:val="Nadpis2"/>
        <w:numPr>
          <w:ilvl w:val="1"/>
          <w:numId w:val="1"/>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21. Tato smlouva je uzavřena v souladu s usnesením Rady města Nové Město na Moravě přijatým na její 10. schůzi dne 15.5.2023 pod bodem 31/10/RM/2023.</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31.12.2024.</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rFonts w:ascii="Arial" w:hAnsi="Arial" w:cs="Arial"/>
        </w:rPr>
      </w:pPr>
      <w:r>
        <w:rPr>
          <w:rFonts w:eastAsia="Arial" w:cs="Arial" w:ascii="Arial" w:hAnsi="Arial"/>
        </w:rPr>
        <w:t xml:space="preserve">     </w:t>
      </w:r>
      <w:r>
        <w:rPr>
          <w:rFonts w:cs="Arial" w:ascii="Arial" w:hAnsi="Arial"/>
        </w:rPr>
        <w:t xml:space="preserve"> </w:t>
      </w:r>
      <w:r>
        <w:rPr>
          <w:rFonts w:cs="Arial" w:ascii="Arial" w:hAnsi="Arial"/>
        </w:rPr>
        <w:t>Příloha č.1 –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footerReference w:type="default" r:id="rId2"/>
      <w:type w:val="nextPage"/>
      <w:pgSz w:w="11906" w:h="16838"/>
      <w:pgMar w:left="1417" w:right="1417" w:gutter="0" w:header="0" w:top="1417" w:footer="708" w:bottom="1417"/>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jc w:val="center"/>
      <w:rP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rFonts w:ascii="Arial" w:hAnsi="Arial"/>
      </w:rPr>
    </w:lvl>
    <w:lvl w:ilvl="1">
      <w:start w:val="1"/>
      <w:numFmt w:val="none"/>
      <w:suff w:val="nothing"/>
      <w:lvlText w:val=""/>
      <w:lvlJc w:val="left"/>
      <w:pPr>
        <w:tabs>
          <w:tab w:val="num" w:pos="0"/>
        </w:tabs>
        <w:ind w:left="576" w:hanging="576"/>
      </w:pPr>
      <w:rPr>
        <w:rFonts w:ascii="Arial" w:hAnsi="Arial"/>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360"/>
        </w:tabs>
        <w:ind w:left="360" w:hanging="360"/>
      </w:pPr>
      <w:rPr/>
    </w:lvl>
    <w:lvl w:ilvl="1">
      <w:start w:val="3"/>
      <w:numFmt w:val="decimal"/>
      <w:lvlText w:val="%1.%2."/>
      <w:lvlJc w:val="left"/>
      <w:pPr>
        <w:tabs>
          <w:tab w:val="num" w:pos="360"/>
        </w:tabs>
        <w:ind w:left="360" w:hanging="360"/>
      </w:pPr>
      <w:rPr/>
    </w:lvl>
    <w:lvl w:ilvl="2">
      <w:start w:val="1"/>
      <w:numFmt w:val="decimal"/>
      <w:lvlText w:val="%1.%2.%3."/>
      <w:lvlJc w:val="left"/>
      <w:pPr>
        <w:tabs>
          <w:tab w:val="num" w:pos="720"/>
        </w:tabs>
        <w:ind w:left="720" w:hanging="720"/>
      </w:pPr>
      <w:rPr/>
    </w:lvl>
    <w:lvl w:ilvl="3">
      <w:start w:val="1"/>
      <w:numFmt w:val="decimal"/>
      <w:lvlText w:val="%1.%2.%3.%4."/>
      <w:lvlJc w:val="left"/>
      <w:pPr>
        <w:tabs>
          <w:tab w:val="num" w:pos="720"/>
        </w:tabs>
        <w:ind w:left="720" w:hanging="720"/>
      </w:pPr>
      <w:rPr/>
    </w:lvl>
    <w:lvl w:ilvl="4">
      <w:start w:val="1"/>
      <w:numFmt w:val="decimal"/>
      <w:lvlText w:val="%1.%2.%3.%4.%5."/>
      <w:lvlJc w:val="left"/>
      <w:pPr>
        <w:tabs>
          <w:tab w:val="num" w:pos="1080"/>
        </w:tabs>
        <w:ind w:left="1080" w:hanging="1080"/>
      </w:pPr>
      <w:rPr/>
    </w:lvl>
    <w:lvl w:ilvl="5">
      <w:start w:val="1"/>
      <w:numFmt w:val="decimal"/>
      <w:lvlText w:val="%1.%2.%3.%4.%5.%6."/>
      <w:lvlJc w:val="left"/>
      <w:pPr>
        <w:tabs>
          <w:tab w:val="num" w:pos="1080"/>
        </w:tabs>
        <w:ind w:left="1080" w:hanging="1080"/>
      </w:pPr>
      <w:rPr/>
    </w:lvl>
    <w:lvl w:ilvl="6">
      <w:start w:val="1"/>
      <w:numFmt w:val="decimal"/>
      <w:lvlText w:val="%1.%2.%3.%4.%5.%6.%7."/>
      <w:lvlJc w:val="left"/>
      <w:pPr>
        <w:tabs>
          <w:tab w:val="num" w:pos="1440"/>
        </w:tabs>
        <w:ind w:left="1440" w:hanging="1440"/>
      </w:pPr>
      <w:rPr/>
    </w:lvl>
    <w:lvl w:ilvl="7">
      <w:start w:val="1"/>
      <w:numFmt w:val="decimal"/>
      <w:lvlText w:val="%1.%2.%3.%4.%5.%6.%7.%8."/>
      <w:lvlJc w:val="left"/>
      <w:pPr>
        <w:tabs>
          <w:tab w:val="num" w:pos="1440"/>
        </w:tabs>
        <w:ind w:left="1440" w:hanging="1440"/>
      </w:pPr>
      <w:rPr/>
    </w:lvl>
    <w:lvl w:ilvl="8">
      <w:start w:val="1"/>
      <w:numFmt w:val="decimal"/>
      <w:lvlText w:val="%1.%2.%3.%4.%5.%6.%7.%8.%9."/>
      <w:lvlJc w:val="left"/>
      <w:pPr>
        <w:tabs>
          <w:tab w:val="num" w:pos="1800"/>
        </w:tabs>
        <w:ind w:left="1800" w:hanging="1800"/>
      </w:pPr>
      <w:rPr/>
    </w:lvl>
  </w:abstractNum>
  <w:abstractNum w:abstractNumId="3">
    <w:lvl w:ilvl="0">
      <w:start w:val="1"/>
      <w:numFmt w:val="decimal"/>
      <w:lvlText w:val="%1."/>
      <w:lvlJc w:val="left"/>
      <w:pPr>
        <w:tabs>
          <w:tab w:val="num" w:pos="708"/>
        </w:tabs>
        <w:ind w:left="720" w:hanging="360"/>
      </w:pPr>
      <w:rPr>
        <w:rFonts w:ascii="Arial" w:hAnsi="Arial"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embedSystemFonts/>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Annotationtext"/>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08"/>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Lucida Sans"/>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08"/>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08"/>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D8D0A-8070-4A70-9ABC-4B4905E8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Application>LibreOffice/7.3.3.2$Windows_X86_64 LibreOffice_project/d1d0ea68f081ee2800a922cac8f79445e4603348</Application>
  <AppVersion>15.0000</AppVersion>
  <Pages>5</Pages>
  <Words>2241</Words>
  <Characters>13189</Characters>
  <CharactersWithSpaces>15559</CharactersWithSpaces>
  <Paragraphs>112</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2021-11-23T12:41:00Z</dcterms:created>
  <dc:creator>urad5</dc:creator>
  <dc:description/>
  <dc:language>cs-CZ</dc:language>
  <cp:lastModifiedBy/>
  <cp:lastPrinted>2021-12-20T16:31:00Z</cp:lastPrinted>
  <dcterms:modified xsi:type="dcterms:W3CDTF">2024-01-16T09:59:45Z</dcterms:modified>
  <cp:revision>61</cp:revision>
  <dc:subject/>
  <dc:title>Objednatel</dc:title>
</cp:coreProperties>
</file>

<file path=docProps/custom.xml><?xml version="1.0" encoding="utf-8"?>
<Properties xmlns="http://schemas.openxmlformats.org/officeDocument/2006/custom-properties" xmlns:vt="http://schemas.openxmlformats.org/officeDocument/2006/docPropsVTypes"/>
</file>