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720"/>
          <w:tab w:val="left" w:pos="709" w:leader="none"/>
          <w:tab w:val="left" w:pos="4536" w:leader="none"/>
        </w:tabs>
        <w:rPr>
          <w:sz w:val="22"/>
          <w:szCs w:val="22"/>
        </w:rPr>
      </w:pPr>
      <w:r>
        <w:rPr>
          <w:sz w:val="22"/>
          <w:szCs w:val="22"/>
        </w:rPr>
      </w:r>
    </w:p>
    <w:p>
      <w:pPr>
        <w:pStyle w:val="Normal"/>
        <w:widowControl w:val="false"/>
        <w:tabs>
          <w:tab w:val="clear" w:pos="720"/>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clear" w:pos="720"/>
          <w:tab w:val="left" w:pos="709" w:leader="none"/>
        </w:tabs>
        <w:spacing w:before="0" w:after="0"/>
        <w:rPr>
          <w:szCs w:val="22"/>
        </w:rPr>
      </w:pPr>
      <w:r>
        <w:rPr>
          <w:szCs w:val="22"/>
        </w:rPr>
        <w:tab/>
        <w:t>se sídlem Vratislavovo nám. 103, 592 31  Nové Město na Moravě</w:t>
      </w:r>
    </w:p>
    <w:p>
      <w:pPr>
        <w:pStyle w:val="Styl11bPed6b"/>
        <w:tabs>
          <w:tab w:val="clear" w:pos="720"/>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clear" w:pos="720"/>
          <w:tab w:val="left" w:pos="709" w:leader="none"/>
        </w:tabs>
        <w:spacing w:before="0" w:after="0"/>
        <w:rPr/>
      </w:pPr>
      <w:r>
        <w:rPr>
          <w:szCs w:val="22"/>
        </w:rPr>
        <w:tab/>
        <w:t xml:space="preserve">ve věcech technických je oprávněn jednat: Mgr. </w:t>
      </w:r>
      <w:r>
        <w:rPr>
          <w:rFonts w:eastAsia="Times New Roman" w:cs="Times New Roman"/>
          <w:color w:val="auto"/>
          <w:kern w:val="0"/>
          <w:sz w:val="22"/>
          <w:szCs w:val="22"/>
          <w:lang w:val="cs-CZ" w:eastAsia="zh-CN" w:bidi="ar-SA"/>
        </w:rPr>
        <w:t>D</w:t>
      </w:r>
      <w:r>
        <w:rPr>
          <w:szCs w:val="22"/>
        </w:rPr>
        <w:t>aniela Krejčí, vedoucí odboru investic</w:t>
      </w:r>
    </w:p>
    <w:p>
      <w:pPr>
        <w:pStyle w:val="Styl11bPed6b"/>
        <w:tabs>
          <w:tab w:val="clear" w:pos="720"/>
          <w:tab w:val="left" w:pos="709" w:leader="none"/>
        </w:tabs>
        <w:spacing w:before="0" w:after="0"/>
        <w:rPr/>
      </w:pPr>
      <w:r>
        <w:rPr>
          <w:szCs w:val="22"/>
        </w:rPr>
        <w:tab/>
        <w:tab/>
        <w:tab/>
        <w:tab/>
        <w:tab/>
        <w:tab/>
        <w:t xml:space="preserve">                 Ing. Zuzana Janovská, referent odboru investic</w:t>
      </w:r>
    </w:p>
    <w:p>
      <w:pPr>
        <w:pStyle w:val="Styl11bPed6b"/>
        <w:tabs>
          <w:tab w:val="clear" w:pos="720"/>
          <w:tab w:val="left" w:pos="709" w:leader="none"/>
        </w:tabs>
        <w:spacing w:before="0" w:after="0"/>
        <w:rPr>
          <w:szCs w:val="22"/>
        </w:rPr>
      </w:pPr>
      <w:r>
        <w:rPr>
          <w:szCs w:val="22"/>
        </w:rPr>
        <w:tab/>
        <w:t>IČ: 00294900</w:t>
      </w:r>
    </w:p>
    <w:p>
      <w:pPr>
        <w:pStyle w:val="Styl11bPed6b"/>
        <w:tabs>
          <w:tab w:val="clear" w:pos="720"/>
          <w:tab w:val="left" w:pos="709" w:leader="none"/>
        </w:tabs>
        <w:spacing w:before="0" w:after="0"/>
        <w:rPr>
          <w:szCs w:val="22"/>
        </w:rPr>
      </w:pPr>
      <w:r>
        <w:rPr>
          <w:szCs w:val="22"/>
        </w:rPr>
        <w:tab/>
        <w:t>bankovní spojení: Komerční banka, a.s.</w:t>
      </w:r>
    </w:p>
    <w:p>
      <w:pPr>
        <w:pStyle w:val="Styl11bPed6b"/>
        <w:tabs>
          <w:tab w:val="clear" w:pos="720"/>
          <w:tab w:val="left" w:pos="709" w:leader="none"/>
        </w:tabs>
        <w:spacing w:before="0" w:after="0"/>
        <w:rPr>
          <w:szCs w:val="22"/>
        </w:rPr>
      </w:pPr>
      <w:r>
        <w:rPr>
          <w:szCs w:val="22"/>
        </w:rPr>
        <w:tab/>
        <w:t>č.ú.: 1224751/0100</w:t>
      </w:r>
    </w:p>
    <w:p>
      <w:pPr>
        <w:pStyle w:val="Styl11bPed6b"/>
        <w:tabs>
          <w:tab w:val="clear" w:pos="720"/>
          <w:tab w:val="left" w:pos="709" w:leader="none"/>
        </w:tabs>
        <w:spacing w:before="0" w:after="0"/>
        <w:rPr>
          <w:i/>
          <w:i/>
          <w:szCs w:val="22"/>
        </w:rPr>
      </w:pPr>
      <w:r>
        <w:rPr>
          <w:szCs w:val="22"/>
        </w:rPr>
        <w:tab/>
      </w:r>
      <w:r>
        <w:rPr>
          <w:i/>
          <w:szCs w:val="22"/>
        </w:rPr>
        <w:t>(dále jen „objednatel“)</w:t>
      </w:r>
    </w:p>
    <w:p>
      <w:pPr>
        <w:pStyle w:val="Styl11bPed6b"/>
        <w:tabs>
          <w:tab w:val="clear" w:pos="720"/>
          <w:tab w:val="left" w:pos="709" w:leader="none"/>
        </w:tabs>
        <w:spacing w:before="0" w:after="0"/>
        <w:rPr>
          <w:i/>
          <w:i/>
          <w:szCs w:val="22"/>
        </w:rPr>
      </w:pPr>
      <w:r>
        <w:rPr>
          <w:i/>
          <w:szCs w:val="22"/>
        </w:rPr>
      </w:r>
    </w:p>
    <w:p>
      <w:pPr>
        <w:pStyle w:val="Styl11bPed6b"/>
        <w:tabs>
          <w:tab w:val="clear" w:pos="720"/>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clear" w:pos="720"/>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clear" w:pos="720"/>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clear" w:pos="720"/>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clear" w:pos="720"/>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clear" w:pos="720"/>
          <w:tab w:val="left" w:pos="709" w:leader="none"/>
        </w:tabs>
        <w:jc w:val="both"/>
        <w:rPr>
          <w:sz w:val="22"/>
          <w:szCs w:val="22"/>
        </w:rPr>
      </w:pPr>
      <w:r>
        <w:rPr>
          <w:sz w:val="22"/>
          <w:szCs w:val="22"/>
        </w:rPr>
        <w:tab/>
        <w:t>Dále mohou jednat osoby zplnomocněné.</w:t>
      </w:r>
    </w:p>
    <w:p>
      <w:pPr>
        <w:pStyle w:val="Normal"/>
        <w:tabs>
          <w:tab w:val="clear" w:pos="720"/>
          <w:tab w:val="left" w:pos="709" w:leader="none"/>
        </w:tabs>
        <w:jc w:val="both"/>
        <w:rPr>
          <w:sz w:val="22"/>
          <w:szCs w:val="22"/>
        </w:rPr>
      </w:pPr>
      <w:r>
        <w:rPr>
          <w:sz w:val="22"/>
          <w:szCs w:val="22"/>
        </w:rPr>
        <w:tab/>
        <w:t xml:space="preserve">IČ: </w:t>
      </w:r>
      <w:r>
        <w:rPr>
          <w:sz w:val="22"/>
          <w:szCs w:val="22"/>
          <w:highlight w:val="yellow"/>
        </w:rPr>
        <w:t>………………….</w:t>
      </w:r>
    </w:p>
    <w:p>
      <w:pPr>
        <w:pStyle w:val="Normal"/>
        <w:tabs>
          <w:tab w:val="clear" w:pos="720"/>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clear" w:pos="720"/>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clear" w:pos="720"/>
          <w:tab w:val="left" w:pos="709" w:leader="none"/>
        </w:tabs>
        <w:jc w:val="both"/>
        <w:rPr>
          <w:sz w:val="22"/>
          <w:szCs w:val="22"/>
        </w:rPr>
      </w:pPr>
      <w:r>
        <w:rPr>
          <w:sz w:val="22"/>
          <w:szCs w:val="22"/>
        </w:rPr>
        <w:tab/>
        <w:t xml:space="preserve">č.ú.: </w:t>
      </w:r>
      <w:r>
        <w:rPr>
          <w:sz w:val="22"/>
          <w:szCs w:val="22"/>
          <w:highlight w:val="yellow"/>
        </w:rPr>
        <w:t>…………………../….</w:t>
      </w:r>
    </w:p>
    <w:p>
      <w:pPr>
        <w:pStyle w:val="Normal"/>
        <w:tabs>
          <w:tab w:val="clear" w:pos="720"/>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clear" w:pos="720"/>
          <w:tab w:val="left" w:pos="709" w:leader="none"/>
        </w:tabs>
        <w:jc w:val="both"/>
        <w:rPr>
          <w:b/>
          <w:b/>
          <w:i/>
          <w:i/>
          <w:sz w:val="22"/>
          <w:szCs w:val="22"/>
        </w:rPr>
      </w:pPr>
      <w:r>
        <w:rPr>
          <w:i/>
          <w:sz w:val="22"/>
          <w:szCs w:val="22"/>
        </w:rPr>
        <w:tab/>
        <w:t>(dále jen „koordinátor“)</w:t>
      </w:r>
    </w:p>
    <w:p>
      <w:pPr>
        <w:pStyle w:val="Normal"/>
        <w:tabs>
          <w:tab w:val="clear" w:pos="720"/>
          <w:tab w:val="left" w:pos="709" w:leader="none"/>
        </w:tabs>
        <w:jc w:val="both"/>
        <w:rPr>
          <w:b/>
          <w:b/>
          <w:i/>
          <w:i/>
          <w:sz w:val="22"/>
          <w:szCs w:val="22"/>
        </w:rPr>
      </w:pPr>
      <w:r>
        <w:rPr>
          <w:b/>
          <w:i/>
          <w:sz w:val="22"/>
          <w:szCs w:val="22"/>
        </w:rPr>
      </w:r>
    </w:p>
    <w:p>
      <w:pPr>
        <w:pStyle w:val="Normal"/>
        <w:tabs>
          <w:tab w:val="clear" w:pos="720"/>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clear" w:pos="720"/>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clear" w:pos="720"/>
          <w:tab w:val="left" w:pos="709" w:leader="none"/>
        </w:tabs>
        <w:jc w:val="both"/>
        <w:rPr>
          <w:sz w:val="22"/>
          <w:szCs w:val="22"/>
        </w:rPr>
      </w:pPr>
      <w:r>
        <w:rPr>
          <w:sz w:val="22"/>
          <w:szCs w:val="22"/>
        </w:rPr>
        <w:tab/>
        <w:t xml:space="preserve">IČ: </w:t>
      </w:r>
      <w:r>
        <w:rPr>
          <w:sz w:val="22"/>
          <w:szCs w:val="22"/>
          <w:highlight w:val="yellow"/>
        </w:rPr>
        <w:t>………………….</w:t>
      </w:r>
    </w:p>
    <w:p>
      <w:pPr>
        <w:pStyle w:val="Normal"/>
        <w:tabs>
          <w:tab w:val="clear" w:pos="720"/>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clear" w:pos="720"/>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clear" w:pos="720"/>
          <w:tab w:val="left" w:pos="709" w:leader="none"/>
        </w:tabs>
        <w:jc w:val="both"/>
        <w:rPr>
          <w:sz w:val="22"/>
          <w:szCs w:val="22"/>
        </w:rPr>
      </w:pPr>
      <w:r>
        <w:rPr>
          <w:sz w:val="22"/>
          <w:szCs w:val="22"/>
        </w:rPr>
        <w:tab/>
        <w:t xml:space="preserve">č.ú.: </w:t>
      </w:r>
      <w:r>
        <w:rPr>
          <w:sz w:val="22"/>
          <w:szCs w:val="22"/>
          <w:highlight w:val="yellow"/>
        </w:rPr>
        <w:t>………………./……</w:t>
      </w:r>
    </w:p>
    <w:p>
      <w:pPr>
        <w:pStyle w:val="Normal"/>
        <w:tabs>
          <w:tab w:val="clear" w:pos="720"/>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clear" w:pos="720"/>
          <w:tab w:val="left" w:pos="709" w:leader="none"/>
        </w:tabs>
        <w:spacing w:before="0" w:after="0"/>
        <w:rPr>
          <w:i/>
          <w:i/>
          <w:szCs w:val="22"/>
        </w:rPr>
      </w:pPr>
      <w:r>
        <w:rPr>
          <w:szCs w:val="22"/>
        </w:rPr>
        <w:tab/>
      </w:r>
      <w:r>
        <w:rPr>
          <w:i/>
          <w:szCs w:val="22"/>
        </w:rPr>
        <w:t>(dále jen „koordinátor“)</w:t>
      </w:r>
    </w:p>
    <w:p>
      <w:pPr>
        <w:pStyle w:val="Normal"/>
        <w:widowControl w:val="false"/>
        <w:tabs>
          <w:tab w:val="clear" w:pos="720"/>
          <w:tab w:val="left" w:pos="709" w:leader="none"/>
          <w:tab w:val="left" w:pos="4536" w:leader="none"/>
        </w:tabs>
        <w:rPr>
          <w:i/>
          <w:i/>
          <w:sz w:val="22"/>
          <w:szCs w:val="22"/>
        </w:rPr>
      </w:pPr>
      <w:r>
        <w:rPr>
          <w:i/>
          <w:sz w:val="22"/>
          <w:szCs w:val="22"/>
        </w:rPr>
      </w:r>
    </w:p>
    <w:p>
      <w:pPr>
        <w:pStyle w:val="Normal"/>
        <w:widowControl w:val="false"/>
        <w:tabs>
          <w:tab w:val="clear" w:pos="720"/>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clear" w:pos="720"/>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w:t>
      </w:r>
    </w:p>
    <w:p>
      <w:pPr>
        <w:pStyle w:val="Normal"/>
        <w:rPr>
          <w:b/>
          <w:b/>
          <w:sz w:val="22"/>
          <w:szCs w:val="22"/>
        </w:rPr>
      </w:pPr>
      <w:r>
        <w:rPr>
          <w:b/>
          <w:sz w:val="22"/>
          <w:szCs w:val="22"/>
        </w:rPr>
      </w:r>
    </w:p>
    <w:p>
      <w:pPr>
        <w:pStyle w:val="Normal"/>
        <w:widowControl w:val="false"/>
        <w:tabs>
          <w:tab w:val="clear" w:pos="720"/>
          <w:tab w:val="left" w:pos="709" w:leader="none"/>
          <w:tab w:val="left" w:pos="4536" w:leader="none"/>
        </w:tabs>
        <w:rPr>
          <w:sz w:val="22"/>
          <w:szCs w:val="22"/>
        </w:rPr>
      </w:pPr>
      <w:r>
        <w:rPr>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4"/>
        </w:numPr>
        <w:tabs>
          <w:tab w:val="clear" w:pos="720"/>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rFonts w:eastAsia="Arial" w:cs="Arial"/>
          <w:b/>
          <w:bCs/>
          <w:i w:val="false"/>
          <w:color w:val="auto"/>
          <w:spacing w:val="-4"/>
          <w:sz w:val="22"/>
          <w:szCs w:val="22"/>
        </w:rPr>
        <w:t>„</w:t>
      </w:r>
      <w:r>
        <w:rPr>
          <w:rFonts w:eastAsia="Times New Roman" w:cs="Times New Roman"/>
          <w:b/>
          <w:bCs/>
          <w:i w:val="false"/>
          <w:color w:val="auto"/>
          <w:spacing w:val="-4"/>
          <w:kern w:val="0"/>
          <w:sz w:val="22"/>
          <w:szCs w:val="22"/>
          <w:lang w:val="cs-CZ" w:eastAsia="cs-CZ" w:bidi="ar-SA"/>
        </w:rPr>
        <w:t xml:space="preserve">Rekonstrukce střešního pláště se zateplením bytového domu č.p. 731, Tyršova ulice, </w:t>
      </w:r>
      <w:r>
        <w:rPr>
          <w:rFonts w:eastAsia="Arial" w:cs="Arial"/>
          <w:b/>
          <w:bCs/>
          <w:i w:val="false"/>
          <w:color w:val="auto"/>
          <w:spacing w:val="-4"/>
          <w:sz w:val="22"/>
          <w:szCs w:val="22"/>
        </w:rPr>
        <w:t>Nové Město na Moravě“</w:t>
      </w:r>
      <w:r>
        <w:rPr>
          <w:sz w:val="22"/>
          <w:szCs w:val="22"/>
        </w:rPr>
        <w:t>(dále jen „stavba“), kterou objednatel realizuje</w:t>
      </w:r>
      <w:r>
        <w:rPr>
          <w:b/>
          <w:sz w:val="22"/>
          <w:szCs w:val="22"/>
        </w:rPr>
        <w:t xml:space="preserve"> </w:t>
      </w:r>
      <w:r>
        <w:rPr>
          <w:sz w:val="22"/>
          <w:szCs w:val="22"/>
        </w:rPr>
        <w:t>podle projektov</w:t>
      </w:r>
      <w:r>
        <w:rPr>
          <w:rFonts w:eastAsia="Times New Roman" w:cs="Times New Roman"/>
          <w:color w:val="auto"/>
          <w:kern w:val="0"/>
          <w:sz w:val="22"/>
          <w:szCs w:val="22"/>
          <w:lang w:val="cs-CZ" w:eastAsia="zh-CN" w:bidi="ar-SA"/>
        </w:rPr>
        <w:t xml:space="preserve">é dokumentace </w:t>
      </w:r>
      <w:r>
        <w:rPr>
          <w:sz w:val="22"/>
          <w:szCs w:val="22"/>
        </w:rPr>
        <w:t xml:space="preserve">pro provádění stavby </w:t>
      </w:r>
      <w:r>
        <w:rPr>
          <w:rFonts w:eastAsia="Arial" w:cs="Arial"/>
          <w:b w:val="false"/>
          <w:bCs w:val="false"/>
          <w:i w:val="false"/>
          <w:color w:val="auto"/>
          <w:spacing w:val="-4"/>
          <w:sz w:val="22"/>
          <w:szCs w:val="22"/>
        </w:rPr>
        <w:t>„</w:t>
      </w:r>
      <w:r>
        <w:rPr>
          <w:rFonts w:eastAsia="Times New Roman" w:cs="Times New Roman"/>
          <w:b w:val="false"/>
          <w:bCs w:val="false"/>
          <w:i w:val="false"/>
          <w:color w:val="auto"/>
          <w:spacing w:val="-4"/>
          <w:kern w:val="0"/>
          <w:sz w:val="22"/>
          <w:szCs w:val="22"/>
          <w:lang w:val="cs-CZ" w:eastAsia="cs-CZ" w:bidi="ar-SA"/>
        </w:rPr>
        <w:t xml:space="preserve">Rekonstrukce střešního pláště se zateplením bytového domu č.p. 731, Tyršova ulice, </w:t>
      </w:r>
      <w:r>
        <w:rPr>
          <w:rFonts w:eastAsia="Arial" w:cs="Arial"/>
          <w:b w:val="false"/>
          <w:bCs w:val="false"/>
          <w:i w:val="false"/>
          <w:color w:val="auto"/>
          <w:spacing w:val="-4"/>
          <w:kern w:val="0"/>
          <w:sz w:val="22"/>
          <w:szCs w:val="22"/>
          <w:lang w:val="cs-CZ" w:eastAsia="cs-CZ" w:bidi="ar-SA"/>
        </w:rPr>
        <w:t>Nové Město na Morav</w:t>
      </w:r>
      <w:r>
        <w:rPr>
          <w:rFonts w:eastAsia="Arial" w:cs="Arial"/>
          <w:b w:val="false"/>
          <w:bCs w:val="false"/>
          <w:i w:val="false"/>
          <w:color w:val="auto"/>
          <w:spacing w:val="-4"/>
          <w:sz w:val="22"/>
          <w:szCs w:val="22"/>
        </w:rPr>
        <w:t>ě“</w:t>
      </w:r>
      <w:r>
        <w:rPr>
          <w:sz w:val="22"/>
          <w:szCs w:val="22"/>
        </w:rPr>
        <w:t xml:space="preserve"> vypracované </w:t>
      </w:r>
      <w:r>
        <w:rPr>
          <w:rFonts w:cs="Arial"/>
          <w:color w:val="auto"/>
          <w:sz w:val="22"/>
          <w:szCs w:val="22"/>
        </w:rPr>
        <w:t xml:space="preserve"> </w:t>
      </w:r>
      <w:r>
        <w:rPr>
          <w:rFonts w:eastAsia="Times New Roman" w:cs="Arial"/>
          <w:color w:val="000000"/>
          <w:kern w:val="0"/>
          <w:sz w:val="22"/>
          <w:szCs w:val="22"/>
          <w:shd w:fill="auto" w:val="clear"/>
          <w:lang w:val="cs-CZ" w:eastAsia="zh-CN" w:bidi="ar-SA"/>
        </w:rPr>
        <w:t>Ing Jaroslavem Janovským se sídlem Německého 1188, 592 31 Nové Město na Moravě</w:t>
      </w:r>
      <w:r>
        <w:rPr>
          <w:rFonts w:eastAsia="Times New Roman" w:cs="Arial"/>
          <w:color w:val="000000"/>
          <w:kern w:val="0"/>
          <w:sz w:val="22"/>
          <w:szCs w:val="22"/>
          <w:shd w:fill="auto" w:val="clear"/>
          <w:lang w:val="cs-CZ" w:eastAsia="cs-CZ" w:bidi="ar-SA"/>
        </w:rPr>
        <w:t xml:space="preserve">, IČ: </w:t>
      </w:r>
      <w:r>
        <w:rPr>
          <w:rFonts w:eastAsia="Times New Roman" w:cs="Arial"/>
          <w:color w:val="000000"/>
          <w:kern w:val="0"/>
          <w:sz w:val="22"/>
          <w:szCs w:val="22"/>
          <w:shd w:fill="auto" w:val="clear"/>
          <w:lang w:val="cs-CZ" w:eastAsia="zh-CN" w:bidi="ar-SA"/>
        </w:rPr>
        <w:t>44134363</w:t>
      </w:r>
      <w:r>
        <w:rPr>
          <w:rFonts w:eastAsia="Times New Roman" w:cs="Arial"/>
          <w:color w:val="000000"/>
          <w:kern w:val="0"/>
          <w:sz w:val="22"/>
          <w:szCs w:val="22"/>
          <w:shd w:fill="auto" w:val="clear"/>
          <w:lang w:val="cs-CZ" w:eastAsia="cs-CZ" w:bidi="ar-SA"/>
        </w:rPr>
        <w:t xml:space="preserve"> v </w:t>
      </w:r>
      <w:r>
        <w:rPr>
          <w:rFonts w:eastAsia="Times New Roman" w:cs="Arial"/>
          <w:color w:val="000000"/>
          <w:kern w:val="0"/>
          <w:sz w:val="22"/>
          <w:szCs w:val="22"/>
          <w:shd w:fill="auto" w:val="clear"/>
          <w:lang w:val="cs-CZ" w:eastAsia="zh-CN" w:bidi="ar-SA"/>
        </w:rPr>
        <w:t>09/2023</w:t>
      </w:r>
      <w:r>
        <w:rPr>
          <w:rFonts w:eastAsia="Times New Roman" w:cs="Arial"/>
          <w:color w:val="000000"/>
          <w:kern w:val="0"/>
          <w:sz w:val="22"/>
          <w:szCs w:val="22"/>
          <w:shd w:fill="auto" w:val="clear"/>
          <w:lang w:val="cs-CZ" w:eastAsia="cs-CZ" w:bidi="ar-SA"/>
        </w:rPr>
        <w:t xml:space="preserve"> pod zak. č. </w:t>
      </w:r>
      <w:r>
        <w:rPr>
          <w:rFonts w:cs="Arial"/>
          <w:color w:val="auto"/>
          <w:sz w:val="22"/>
          <w:szCs w:val="22"/>
        </w:rPr>
        <w:t>02/2023  včetně dokladové části, resp. jejími částmi vztahujícími se k výše uvedeným stavebním objektům.</w:t>
      </w:r>
    </w:p>
    <w:p>
      <w:pPr>
        <w:pStyle w:val="Normal"/>
        <w:numPr>
          <w:ilvl w:val="0"/>
          <w:numId w:val="0"/>
        </w:numPr>
        <w:tabs>
          <w:tab w:val="clear" w:pos="720"/>
          <w:tab w:val="left" w:pos="360" w:leader="none"/>
        </w:tabs>
        <w:ind w:left="720" w:hanging="0"/>
        <w:jc w:val="both"/>
        <w:rPr>
          <w:rFonts w:cs="Arial"/>
          <w:color w:val="auto"/>
          <w:sz w:val="22"/>
          <w:szCs w:val="22"/>
        </w:rPr>
      </w:pPr>
      <w:r>
        <w:rPr>
          <w:rFonts w:cs="Arial"/>
          <w:color w:val="auto"/>
          <w:sz w:val="22"/>
          <w:szCs w:val="22"/>
        </w:rPr>
      </w:r>
    </w:p>
    <w:p>
      <w:pPr>
        <w:pStyle w:val="Normal"/>
        <w:numPr>
          <w:ilvl w:val="0"/>
          <w:numId w:val="0"/>
        </w:numPr>
        <w:tabs>
          <w:tab w:val="clear" w:pos="720"/>
          <w:tab w:val="left" w:pos="360" w:leader="none"/>
        </w:tabs>
        <w:ind w:left="720" w:hanging="0"/>
        <w:jc w:val="both"/>
        <w:rPr>
          <w:rFonts w:cs="Arial"/>
          <w:color w:val="auto"/>
          <w:sz w:val="22"/>
          <w:szCs w:val="22"/>
        </w:rPr>
      </w:pPr>
      <w:r>
        <w:rPr>
          <w:rFonts w:cs="Arial"/>
          <w:color w:val="auto"/>
          <w:sz w:val="22"/>
          <w:szCs w:val="22"/>
        </w:rPr>
      </w:r>
    </w:p>
    <w:p>
      <w:pPr>
        <w:pStyle w:val="Normal"/>
        <w:tabs>
          <w:tab w:val="clear" w:pos="720"/>
          <w:tab w:val="left" w:pos="360" w:leader="none"/>
        </w:tabs>
        <w:ind w:left="360" w:hanging="0"/>
        <w:jc w:val="both"/>
        <w:rPr>
          <w:sz w:val="22"/>
          <w:szCs w:val="22"/>
        </w:rPr>
      </w:pPr>
      <w:r>
        <w:rPr>
          <w:sz w:val="22"/>
          <w:szCs w:val="22"/>
        </w:rPr>
      </w:r>
    </w:p>
    <w:p>
      <w:pPr>
        <w:pStyle w:val="Normal"/>
        <w:numPr>
          <w:ilvl w:val="0"/>
          <w:numId w:val="4"/>
        </w:numPr>
        <w:tabs>
          <w:tab w:val="clear" w:pos="720"/>
          <w:tab w:val="left" w:pos="360" w:leader="none"/>
        </w:tabs>
        <w:jc w:val="both"/>
        <w:rPr>
          <w:sz w:val="22"/>
          <w:szCs w:val="22"/>
        </w:rPr>
      </w:pPr>
      <w:r>
        <w:rPr>
          <w:sz w:val="22"/>
          <w:szCs w:val="22"/>
        </w:rPr>
        <w:t>Výkon činnosti koordinátora BOZP zahrnuje zejména tyto činnosti:</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4"/>
        </w:numPr>
        <w:tabs>
          <w:tab w:val="clear" w:pos="720"/>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20"/>
          <w:tab w:val="left" w:pos="360" w:leader="none"/>
        </w:tabs>
        <w:ind w:left="360" w:hanging="0"/>
        <w:jc w:val="both"/>
        <w:rPr>
          <w:sz w:val="22"/>
          <w:szCs w:val="22"/>
        </w:rPr>
      </w:pPr>
      <w:r>
        <w:rPr>
          <w:sz w:val="22"/>
          <w:szCs w:val="22"/>
        </w:rPr>
      </w:r>
    </w:p>
    <w:p>
      <w:pPr>
        <w:pStyle w:val="Normal"/>
        <w:numPr>
          <w:ilvl w:val="0"/>
          <w:numId w:val="4"/>
        </w:numPr>
        <w:tabs>
          <w:tab w:val="clear" w:pos="720"/>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4"/>
        </w:numPr>
        <w:tabs>
          <w:tab w:val="clear" w:pos="720"/>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6"/>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6"/>
        </w:numPr>
        <w:jc w:val="both"/>
        <w:rPr>
          <w:sz w:val="22"/>
          <w:szCs w:val="22"/>
        </w:rPr>
      </w:pPr>
      <w:r>
        <w:rPr>
          <w:bCs/>
          <w:sz w:val="22"/>
          <w:szCs w:val="22"/>
        </w:rPr>
        <w:t>Předpokládané termíny realizace stavby:</w:t>
      </w:r>
    </w:p>
    <w:p>
      <w:pPr>
        <w:pStyle w:val="Seznam"/>
        <w:numPr>
          <w:ilvl w:val="1"/>
          <w:numId w:val="6"/>
        </w:numPr>
        <w:spacing w:before="80" w:after="0"/>
        <w:rPr>
          <w:sz w:val="22"/>
          <w:szCs w:val="22"/>
        </w:rPr>
      </w:pPr>
      <w:r>
        <w:rPr>
          <w:sz w:val="22"/>
          <w:szCs w:val="22"/>
        </w:rPr>
        <w:t>zahájení stavby:</w:t>
        <w:tab/>
        <w:tab/>
        <w:t>nejdříve dne 01.06.2024</w:t>
      </w:r>
    </w:p>
    <w:p>
      <w:pPr>
        <w:pStyle w:val="Seznam"/>
        <w:numPr>
          <w:ilvl w:val="0"/>
          <w:numId w:val="0"/>
        </w:numPr>
        <w:spacing w:before="80" w:after="0"/>
        <w:ind w:left="709" w:hanging="0"/>
        <w:rPr/>
      </w:pPr>
      <w:r>
        <w:rPr>
          <w:sz w:val="22"/>
          <w:szCs w:val="22"/>
        </w:rPr>
        <w:t xml:space="preserve">       </w:t>
      </w:r>
      <w:r>
        <w:rPr>
          <w:sz w:val="22"/>
          <w:szCs w:val="22"/>
        </w:rPr>
        <w:t xml:space="preserve">b.    dokončení stavby: </w:t>
        <w:tab/>
        <w:t xml:space="preserve">nejpozději dne </w:t>
      </w:r>
      <w:r>
        <w:rPr>
          <w:rFonts w:eastAsia="Times New Roman" w:cs="Times New Roman"/>
          <w:color w:val="auto"/>
          <w:kern w:val="0"/>
          <w:sz w:val="22"/>
          <w:szCs w:val="22"/>
          <w:lang w:val="cs-CZ" w:eastAsia="cs-CZ" w:bidi="ar-SA"/>
        </w:rPr>
        <w:t>31.08.2024</w:t>
      </w:r>
    </w:p>
    <w:p>
      <w:pPr>
        <w:pStyle w:val="Tlotextu"/>
        <w:numPr>
          <w:ilvl w:val="0"/>
          <w:numId w:val="0"/>
        </w:numPr>
        <w:tabs>
          <w:tab w:val="clear" w:pos="720"/>
          <w:tab w:val="left" w:pos="1440" w:leader="none"/>
          <w:tab w:val="left" w:pos="3544" w:leader="none"/>
        </w:tabs>
        <w:ind w:left="0" w:hanging="0"/>
        <w:jc w:val="both"/>
        <w:rPr/>
      </w:pPr>
      <w:r>
        <w:rPr>
          <w:rFonts w:eastAsia="Times New Roman" w:cs="Arial"/>
          <w:b w:val="false"/>
          <w:bCs w:val="false"/>
          <w:color w:val="auto"/>
          <w:kern w:val="0"/>
          <w:sz w:val="22"/>
          <w:szCs w:val="22"/>
          <w:lang w:val="cs-CZ" w:eastAsia="cs-CZ" w:bidi="ar-SA"/>
        </w:rPr>
        <w:t xml:space="preserve">              </w:t>
      </w:r>
      <w:r>
        <w:rPr>
          <w:rFonts w:eastAsia="Times New Roman" w:cs="Arial"/>
          <w:b w:val="false"/>
          <w:bCs w:val="false"/>
          <w:color w:val="auto"/>
          <w:kern w:val="0"/>
          <w:sz w:val="22"/>
          <w:szCs w:val="22"/>
          <w:lang w:val="cs-CZ" w:eastAsia="cs-CZ" w:bidi="ar-SA"/>
        </w:rPr>
        <w:t>Doba vlastní realizace nepřesáhne 2 měsíce od data zahájení prací.</w:t>
      </w:r>
    </w:p>
    <w:p>
      <w:pPr>
        <w:pStyle w:val="Tlotextu"/>
        <w:ind w:left="720" w:hanging="0"/>
        <w:jc w:val="both"/>
        <w:rPr/>
      </w:pPr>
      <w:r>
        <w:rPr>
          <w:color w:val="auto"/>
          <w:sz w:val="22"/>
          <w:szCs w:val="22"/>
        </w:rPr>
        <w:t xml:space="preserve"> </w:t>
      </w:r>
    </w:p>
    <w:p>
      <w:pPr>
        <w:pStyle w:val="Normal"/>
        <w:ind w:left="360" w:hanging="0"/>
        <w:jc w:val="both"/>
        <w:rPr>
          <w:bCs/>
          <w:sz w:val="22"/>
          <w:szCs w:val="22"/>
        </w:rPr>
      </w:pPr>
      <w:r>
        <w:rPr>
          <w:bCs/>
          <w:sz w:val="22"/>
          <w:szCs w:val="22"/>
        </w:rPr>
      </w:r>
    </w:p>
    <w:p>
      <w:pPr>
        <w:pStyle w:val="Normal"/>
        <w:numPr>
          <w:ilvl w:val="0"/>
          <w:numId w:val="6"/>
        </w:numPr>
        <w:jc w:val="both"/>
        <w:rPr>
          <w:bCs/>
          <w:sz w:val="22"/>
          <w:szCs w:val="22"/>
        </w:rPr>
      </w:pPr>
      <w:r>
        <w:rPr>
          <w:sz w:val="22"/>
          <w:szCs w:val="22"/>
        </w:rPr>
        <w:t>Dojde-li při realizaci stavby k prodloužení doby realizace stavby oproti původně předpokládané době realizace stavby uvedené v čl. 2, odst. 2 této smlouvy (16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1"/>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3"/>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3"/>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3"/>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3"/>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3"/>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hanging="0"/>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1"/>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2"/>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2"/>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2"/>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1"/>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1"/>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5"/>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5"/>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5"/>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5"/>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5"/>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5"/>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5"/>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5"/>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5"/>
        </w:numPr>
        <w:jc w:val="both"/>
        <w:rPr/>
      </w:pPr>
      <w:r>
        <w:rPr>
          <w:sz w:val="22"/>
          <w:szCs w:val="22"/>
        </w:rPr>
        <w:t>Tato smlouva je uzavřena v souladu s usnesením Rady města Nové Město na Moravě přijatým na její 10. schůzi dne 15.5.2023 pod bodem 31/10/RM/20</w:t>
      </w:r>
      <w:r>
        <w:rPr>
          <w:sz w:val="22"/>
          <w:szCs w:val="22"/>
          <w:lang w:eastAsia="zh-CN"/>
        </w:rPr>
        <w:t>23.</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Tato smlouva pozbývá platnosti a účinnosti, pokud stavba nebude zahájena do 31.12.2024.</w:t>
      </w:r>
    </w:p>
    <w:p>
      <w:pPr>
        <w:pStyle w:val="Normal"/>
        <w:jc w:val="both"/>
        <w:rPr>
          <w:sz w:val="22"/>
          <w:szCs w:val="22"/>
        </w:rPr>
      </w:pPr>
      <w:r>
        <w:rPr>
          <w:sz w:val="22"/>
          <w:szCs w:val="22"/>
        </w:rPr>
      </w:r>
    </w:p>
    <w:p>
      <w:pPr>
        <w:pStyle w:val="Normal"/>
        <w:numPr>
          <w:ilvl w:val="0"/>
          <w:numId w:val="5"/>
        </w:numPr>
        <w:jc w:val="both"/>
        <w:rPr>
          <w:sz w:val="22"/>
          <w:szCs w:val="22"/>
        </w:rPr>
      </w:pPr>
      <w:r>
        <w:rPr>
          <w:sz w:val="22"/>
          <w:szCs w:val="22"/>
        </w:rPr>
        <w:t>Nedílnou součástí této smlouvy je :</w:t>
      </w:r>
    </w:p>
    <w:p>
      <w:pPr>
        <w:pStyle w:val="Normal"/>
        <w:tabs>
          <w:tab w:val="clear" w:pos="720"/>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20"/>
          <w:tab w:val="left" w:pos="851" w:leader="none"/>
          <w:tab w:val="left" w:pos="1134" w:leader="none"/>
        </w:tabs>
        <w:jc w:val="both"/>
        <w:rPr>
          <w:sz w:val="22"/>
          <w:szCs w:val="22"/>
        </w:rPr>
      </w:pPr>
      <w:r>
        <w:rPr>
          <w:sz w:val="22"/>
          <w:szCs w:val="22"/>
        </w:rPr>
      </w:r>
    </w:p>
    <w:p>
      <w:pPr>
        <w:pStyle w:val="Normal"/>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20"/>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20"/>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20"/>
          <w:tab w:val="left" w:pos="4500" w:leader="none"/>
        </w:tabs>
        <w:jc w:val="both"/>
        <w:rPr>
          <w:bCs/>
          <w:sz w:val="22"/>
          <w:szCs w:val="22"/>
        </w:rPr>
      </w:pPr>
      <w:r>
        <w:rPr>
          <w:bCs/>
          <w:sz w:val="22"/>
          <w:szCs w:val="22"/>
        </w:rPr>
      </w:r>
    </w:p>
    <w:p>
      <w:pPr>
        <w:pStyle w:val="Tlotextu"/>
        <w:tabs>
          <w:tab w:val="clear" w:pos="720"/>
          <w:tab w:val="left" w:pos="4500" w:leader="none"/>
        </w:tabs>
        <w:rPr>
          <w:color w:val="auto"/>
          <w:sz w:val="22"/>
          <w:szCs w:val="22"/>
        </w:rPr>
      </w:pPr>
      <w:r>
        <w:rPr>
          <w:color w:val="auto"/>
          <w:sz w:val="22"/>
          <w:szCs w:val="22"/>
        </w:rPr>
        <w:tab/>
      </w:r>
    </w:p>
    <w:p>
      <w:pPr>
        <w:pStyle w:val="Tlotextu"/>
        <w:tabs>
          <w:tab w:val="clear" w:pos="720"/>
          <w:tab w:val="left" w:pos="4500" w:leader="none"/>
        </w:tabs>
        <w:rPr>
          <w:color w:val="auto"/>
          <w:sz w:val="22"/>
          <w:szCs w:val="22"/>
        </w:rPr>
      </w:pPr>
      <w:r>
        <w:rPr>
          <w:color w:val="auto"/>
          <w:sz w:val="22"/>
          <w:szCs w:val="22"/>
        </w:rPr>
        <w:t>Objednatel:</w:t>
        <w:tab/>
        <w:t>Koordinátor:</w:t>
      </w:r>
    </w:p>
    <w:p>
      <w:pPr>
        <w:pStyle w:val="Tlotextu"/>
        <w:tabs>
          <w:tab w:val="clear" w:pos="720"/>
          <w:tab w:val="left" w:pos="4500" w:leader="none"/>
        </w:tabs>
        <w:rPr>
          <w:color w:val="auto"/>
          <w:sz w:val="22"/>
          <w:szCs w:val="22"/>
        </w:rPr>
      </w:pPr>
      <w:r>
        <w:rPr>
          <w:color w:val="auto"/>
          <w:sz w:val="22"/>
          <w:szCs w:val="22"/>
        </w:rPr>
      </w:r>
    </w:p>
    <w:p>
      <w:pPr>
        <w:pStyle w:val="Tlotextu"/>
        <w:tabs>
          <w:tab w:val="clear" w:pos="720"/>
          <w:tab w:val="left" w:pos="4500" w:leader="none"/>
        </w:tabs>
        <w:rPr>
          <w:color w:val="auto"/>
          <w:sz w:val="22"/>
          <w:szCs w:val="22"/>
        </w:rPr>
      </w:pPr>
      <w:r>
        <w:rPr>
          <w:color w:val="auto"/>
          <w:sz w:val="22"/>
          <w:szCs w:val="22"/>
        </w:rPr>
      </w:r>
    </w:p>
    <w:p>
      <w:pPr>
        <w:pStyle w:val="Tlotextu"/>
        <w:tabs>
          <w:tab w:val="clear" w:pos="720"/>
          <w:tab w:val="left" w:pos="4500" w:leader="none"/>
        </w:tabs>
        <w:rPr>
          <w:color w:val="auto"/>
          <w:sz w:val="22"/>
          <w:szCs w:val="22"/>
        </w:rPr>
      </w:pPr>
      <w:r>
        <w:rPr>
          <w:color w:val="auto"/>
          <w:sz w:val="22"/>
          <w:szCs w:val="22"/>
        </w:rPr>
      </w:r>
    </w:p>
    <w:p>
      <w:pPr>
        <w:pStyle w:val="Tlotextu"/>
        <w:tabs>
          <w:tab w:val="clear" w:pos="720"/>
          <w:tab w:val="left" w:pos="4500" w:leader="none"/>
        </w:tabs>
        <w:rPr>
          <w:color w:val="auto"/>
          <w:sz w:val="22"/>
          <w:szCs w:val="22"/>
        </w:rPr>
      </w:pPr>
      <w:r>
        <w:rPr>
          <w:color w:val="auto"/>
          <w:sz w:val="22"/>
          <w:szCs w:val="22"/>
        </w:rPr>
      </w:r>
    </w:p>
    <w:p>
      <w:pPr>
        <w:pStyle w:val="Tlotextu"/>
        <w:tabs>
          <w:tab w:val="clear" w:pos="720"/>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20"/>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20"/>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3753959"/>
    </w:sdtPr>
    <w:sdtContent>
      <w:p>
        <w:pPr>
          <w:pStyle w:val="Zpat"/>
          <w:jc w:val="center"/>
          <w:rPr/>
        </w:pPr>
        <w:r>
          <w:rPr/>
        </w:r>
      </w:p>
    </w:sdtContent>
  </w:sdt>
  <w:p>
    <w:pPr>
      <w:pStyle w:val="Zpat"/>
      <w:ind w:right="360" w:hanging="0"/>
      <w:jc w:val="left"/>
      <w:rPr/>
    </w:pPr>
    <w:r>
      <mc:AlternateContent>
        <mc:Choice Requires="wps">
          <w:drawing>
            <wp:anchor behindDoc="1" distT="0" distB="0" distL="0" distR="0" simplePos="0" locked="0" layoutInCell="0" allowOverlap="1" relativeHeight="6">
              <wp:simplePos x="0" y="0"/>
              <wp:positionH relativeFrom="margin">
                <wp:align>center</wp:align>
              </wp:positionH>
              <wp:positionV relativeFrom="paragraph">
                <wp:posOffset>635</wp:posOffset>
              </wp:positionV>
              <wp:extent cx="160655" cy="181610"/>
              <wp:effectExtent l="0" t="0" r="0" b="0"/>
              <wp:wrapSquare wrapText="largest"/>
              <wp:docPr id="1" name="Rámec1"/>
              <a:graphic xmlns:a="http://schemas.openxmlformats.org/drawingml/2006/main">
                <a:graphicData uri="http://schemas.microsoft.com/office/word/2010/wordprocessingShape">
                  <wps:wsp>
                    <wps:cNvSpPr/>
                    <wps:spPr>
                      <a:xfrm>
                        <a:off x="0" y="0"/>
                        <a:ext cx="160200" cy="181080"/>
                      </a:xfrm>
                      <a:prstGeom prst="rect">
                        <a:avLst/>
                      </a:prstGeom>
                      <a:noFill/>
                      <a:ln w="0">
                        <a:noFill/>
                      </a:ln>
                    </wps:spPr>
                    <wps:style>
                      <a:lnRef idx="0"/>
                      <a:fillRef idx="0"/>
                      <a:effectRef idx="0"/>
                      <a:fontRef idx="minor"/>
                    </wps:style>
                    <wps:bodyPr/>
                  </wps:wsp>
                </a:graphicData>
              </a:graphic>
            </wp:anchor>
          </w:drawing>
        </mc:Choice>
        <mc:Fallback>
          <w:pict>
            <v:rect id="shape_0" ID="Rámec1" path="m0,0l-2147483645,0l-2147483645,-2147483646l0,-2147483646xe" stroked="f" o:allowincell="f" style="position:absolute;margin-left:220.5pt;margin-top:0.05pt;width:12.55pt;height:14.2pt;mso-wrap-style:none;v-text-anchor:middle;mso-position-horizontal:center;mso-position-horizontal-relative:margin">
              <v:fill o:detectmouseclick="t" on="false"/>
              <v:stroke color="#3465a4" joinstyle="round" endcap="flat"/>
              <w10:wrap type="square" side="largest"/>
            </v:rect>
          </w:pict>
        </mc:Fallback>
      </mc:AlternateContent>
    </w:r>
    <w:r>
      <w:rPr>
        <w:b w:val="false"/>
        <w:bCs w:val="false"/>
        <w:sz w:val="20"/>
        <w:szCs w:val="20"/>
      </w:rPr>
      <w:t xml:space="preserve">BOZP </w:t>
    </w:r>
    <w:r>
      <w:rPr>
        <w:rFonts w:eastAsia="Arial" w:cs="Arial"/>
        <w:b w:val="false"/>
        <w:bCs w:val="false"/>
        <w:color w:val="auto"/>
        <w:spacing w:val="-4"/>
        <w:sz w:val="20"/>
        <w:szCs w:val="20"/>
      </w:rPr>
      <w:t xml:space="preserve">- </w:t>
    </w:r>
    <w:r>
      <w:rPr>
        <w:rFonts w:eastAsia="Times New Roman" w:cs="Times New Roman"/>
        <w:b w:val="false"/>
        <w:bCs w:val="false"/>
        <w:i w:val="false"/>
        <w:color w:val="auto"/>
        <w:spacing w:val="-4"/>
        <w:kern w:val="0"/>
        <w:sz w:val="20"/>
        <w:szCs w:val="20"/>
        <w:lang w:val="cs-CZ" w:eastAsia="cs-CZ" w:bidi="ar-SA"/>
      </w:rPr>
      <w:t xml:space="preserve">Rekonstrukce střechy č.p. 731, Tyršova, </w:t>
    </w:r>
    <w:r>
      <w:rPr>
        <w:rFonts w:eastAsia="Arial" w:cs="Arial"/>
        <w:b w:val="false"/>
        <w:bCs w:val="false"/>
        <w:i w:val="false"/>
        <w:color w:val="auto"/>
        <w:spacing w:val="-4"/>
        <w:sz w:val="20"/>
        <w:szCs w:val="20"/>
      </w:rPr>
      <w:t>Nové Město na Moravě“</w:t>
    </w:r>
    <w:r>
      <w:rPr>
        <w:rFonts w:eastAsia="Arial" w:cs="Arial"/>
        <w:b w:val="false"/>
        <w:bCs w:val="false"/>
        <w:color w:val="auto"/>
        <w:spacing w:val="-4"/>
        <w:sz w:val="20"/>
        <w:szCs w:val="20"/>
      </w:rPr>
      <w:t xml:space="preserve">                                            </w:t>
    </w:r>
    <w:r>
      <w:rPr>
        <w:rFonts w:eastAsia="Arial" w:cs="Arial"/>
        <w:b w:val="false"/>
        <w:bCs w:val="false"/>
        <w:spacing w:val="-4"/>
        <w:sz w:val="20"/>
        <w:szCs w:val="20"/>
      </w:rPr>
      <w:fldChar w:fldCharType="begin"/>
    </w:r>
    <w:r>
      <w:rPr>
        <w:sz w:val="20"/>
        <w:spacing w:val="-4"/>
        <w:b w:val="false"/>
        <w:szCs w:val="20"/>
        <w:bCs w:val="false"/>
        <w:rFonts w:eastAsia="Arial" w:cs="Arial"/>
      </w:rPr>
      <w:instrText> PAGE </w:instrText>
    </w:r>
    <w:r>
      <w:rPr>
        <w:sz w:val="20"/>
        <w:spacing w:val="-4"/>
        <w:b w:val="false"/>
        <w:szCs w:val="20"/>
        <w:bCs w:val="false"/>
        <w:rFonts w:eastAsia="Arial" w:cs="Arial"/>
      </w:rPr>
      <w:fldChar w:fldCharType="separate"/>
    </w:r>
    <w:r>
      <w:rPr>
        <w:sz w:val="20"/>
        <w:spacing w:val="-4"/>
        <w:b w:val="false"/>
        <w:szCs w:val="20"/>
        <w:bCs w:val="false"/>
        <w:rFonts w:eastAsia="Arial" w:cs="Arial"/>
      </w:rPr>
      <w:t>5</w:t>
    </w:r>
    <w:r>
      <w:rPr>
        <w:sz w:val="20"/>
        <w:spacing w:val="-4"/>
        <w:b w:val="false"/>
        <w:szCs w:val="20"/>
        <w:bCs w:val="false"/>
        <w:rFonts w:eastAsia="Arial" w:cs="Arial"/>
      </w:rPr>
      <w:fldChar w:fldCharType="end"/>
    </w:r>
    <w:r>
      <w:rPr>
        <w:rFonts w:eastAsia="Arial" w:cs="Arial"/>
        <w:b w:val="false"/>
        <w:bCs w:val="false"/>
        <w:color w:val="auto"/>
        <w:spacing w:val="-4"/>
        <w:sz w:val="20"/>
        <w:szCs w:val="20"/>
      </w:rPr>
      <w:t xml:space="preserve">                        </w:t>
    </w:r>
    <w:r>
      <w:rPr>
        <w:rFonts w:eastAsia="Arial" w:cs="Arial"/>
        <w:b w:val="false"/>
        <w:bCs w:val="false"/>
        <w:color w:val="auto"/>
        <w:spacing w:val="-4"/>
        <w:kern w:val="0"/>
        <w:sz w:val="20"/>
        <w:szCs w:val="20"/>
        <w:lang w:val="cs-CZ" w:eastAsia="zh-CN" w:bidi="ar-SA"/>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jc w:val="center"/>
      <w:outlineLvl w:val="0"/>
    </w:pPr>
    <w:rPr>
      <w:rFonts w:ascii="Arial" w:hAnsi="Arial" w:cs="Arial"/>
      <w:b/>
      <w:bCs/>
    </w:rPr>
  </w:style>
  <w:style w:type="paragraph" w:styleId="Nadpis2">
    <w:name w:val="Heading 2"/>
    <w:basedOn w:val="Normal"/>
    <w:next w:val="Normal"/>
    <w:qFormat/>
    <w:rsid w:val="00af68bb"/>
    <w:pPr>
      <w:keepNext w:val="true"/>
      <w:outlineLvl w:val="1"/>
    </w:pPr>
    <w:rPr>
      <w:i/>
      <w:szCs w:val="20"/>
    </w:rPr>
  </w:style>
  <w:style w:type="paragraph" w:styleId="Nadpis3">
    <w:name w:val="Heading 3"/>
    <w:basedOn w:val="Normal"/>
    <w:next w:val="Normal"/>
    <w:qFormat/>
    <w:rsid w:val="00af68bb"/>
    <w:pPr>
      <w:keepNext w:val="true"/>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tabs>
        <w:tab w:val="clear" w:pos="720"/>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20"/>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20"/>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20"/>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20"/>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20"/>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Application>LibreOffice/7.2.7.2$Windows_X86_64 LibreOffice_project/8d71d29d553c0f7dcbfa38fbfda25ee34cce99a2</Application>
  <AppVersion>15.0000</AppVersion>
  <Pages>5</Pages>
  <Words>1881</Words>
  <Characters>11032</Characters>
  <CharactersWithSpaces>13027</CharactersWithSpaces>
  <Paragraphs>102</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2024-01-11T08:58:20Z</dcterms:modified>
  <cp:revision>69</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