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20"/>
          <w:tab w:val="left" w:pos="709" w:leader="none"/>
          <w:tab w:val="left" w:pos="4536" w:leader="none"/>
        </w:tabs>
        <w:rPr>
          <w:sz w:val="22"/>
          <w:szCs w:val="22"/>
        </w:rPr>
      </w:pPr>
      <w:r>
        <w:rPr>
          <w:sz w:val="22"/>
          <w:szCs w:val="22"/>
        </w:rPr>
      </w:r>
    </w:p>
    <w:p>
      <w:pPr>
        <w:pStyle w:val="Normal"/>
        <w:widowControl w:val="false"/>
        <w:tabs>
          <w:tab w:val="clear" w:pos="720"/>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clear" w:pos="720"/>
          <w:tab w:val="left" w:pos="709" w:leader="none"/>
        </w:tabs>
        <w:spacing w:before="0" w:after="0"/>
        <w:rPr>
          <w:szCs w:val="22"/>
        </w:rPr>
      </w:pPr>
      <w:r>
        <w:rPr>
          <w:szCs w:val="22"/>
        </w:rPr>
        <w:tab/>
        <w:t>se sídlem Vratislavovo nám. 103, 592 31  Nové Město na Moravě</w:t>
      </w:r>
    </w:p>
    <w:p>
      <w:pPr>
        <w:pStyle w:val="Styl11bPed6b"/>
        <w:tabs>
          <w:tab w:val="clear" w:pos="720"/>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clear" w:pos="720"/>
          <w:tab w:val="left" w:pos="709" w:leader="none"/>
        </w:tabs>
        <w:spacing w:before="0" w:after="0"/>
        <w:rPr/>
      </w:pPr>
      <w:r>
        <w:rPr>
          <w:szCs w:val="22"/>
        </w:rPr>
        <w:tab/>
        <w:t xml:space="preserve">ve věcech technických je oprávněn jednat: Mgr. </w:t>
      </w:r>
      <w:r>
        <w:rPr>
          <w:rFonts w:eastAsia="Times New Roman" w:cs="Times New Roman"/>
          <w:color w:val="auto"/>
          <w:kern w:val="0"/>
          <w:sz w:val="22"/>
          <w:szCs w:val="22"/>
          <w:lang w:val="cs-CZ" w:eastAsia="zh-CN" w:bidi="ar-SA"/>
        </w:rPr>
        <w:t>D</w:t>
      </w:r>
      <w:r>
        <w:rPr>
          <w:szCs w:val="22"/>
        </w:rPr>
        <w:t>aniela Krejčí, vedoucí odboru investic</w:t>
      </w:r>
    </w:p>
    <w:p>
      <w:pPr>
        <w:pStyle w:val="Styl11bPed6b"/>
        <w:tabs>
          <w:tab w:val="clear" w:pos="720"/>
          <w:tab w:val="left" w:pos="709" w:leader="none"/>
        </w:tabs>
        <w:spacing w:before="0" w:after="0"/>
        <w:rPr/>
      </w:pPr>
      <w:r>
        <w:rPr>
          <w:szCs w:val="22"/>
        </w:rPr>
        <w:tab/>
        <w:tab/>
        <w:tab/>
        <w:tab/>
        <w:tab/>
        <w:tab/>
        <w:t xml:space="preserve">                 Ing. Zuzana Janovská, referent odboru investic</w:t>
      </w:r>
    </w:p>
    <w:p>
      <w:pPr>
        <w:pStyle w:val="Styl11bPed6b"/>
        <w:tabs>
          <w:tab w:val="clear" w:pos="720"/>
          <w:tab w:val="left" w:pos="709" w:leader="none"/>
        </w:tabs>
        <w:spacing w:before="0" w:after="0"/>
        <w:rPr>
          <w:szCs w:val="22"/>
        </w:rPr>
      </w:pPr>
      <w:r>
        <w:rPr>
          <w:szCs w:val="22"/>
        </w:rPr>
        <w:tab/>
        <w:t>IČ: 00294900</w:t>
      </w:r>
    </w:p>
    <w:p>
      <w:pPr>
        <w:pStyle w:val="Styl11bPed6b"/>
        <w:tabs>
          <w:tab w:val="clear" w:pos="720"/>
          <w:tab w:val="left" w:pos="709" w:leader="none"/>
        </w:tabs>
        <w:spacing w:before="0" w:after="0"/>
        <w:rPr>
          <w:szCs w:val="22"/>
        </w:rPr>
      </w:pPr>
      <w:r>
        <w:rPr>
          <w:szCs w:val="22"/>
        </w:rPr>
        <w:tab/>
        <w:t>bankovní spojení: Komerční banka, a.s.</w:t>
      </w:r>
    </w:p>
    <w:p>
      <w:pPr>
        <w:pStyle w:val="Styl11bPed6b"/>
        <w:tabs>
          <w:tab w:val="clear" w:pos="720"/>
          <w:tab w:val="left" w:pos="709" w:leader="none"/>
        </w:tabs>
        <w:spacing w:before="0" w:after="0"/>
        <w:rPr>
          <w:szCs w:val="22"/>
        </w:rPr>
      </w:pPr>
      <w:r>
        <w:rPr>
          <w:szCs w:val="22"/>
        </w:rPr>
        <w:tab/>
        <w:t>č.ú.: 1224751/0100</w:t>
      </w:r>
    </w:p>
    <w:p>
      <w:pPr>
        <w:pStyle w:val="Styl11bPed6b"/>
        <w:tabs>
          <w:tab w:val="clear" w:pos="720"/>
          <w:tab w:val="left" w:pos="709" w:leader="none"/>
        </w:tabs>
        <w:spacing w:before="0" w:after="0"/>
        <w:rPr>
          <w:i/>
          <w:i/>
          <w:szCs w:val="22"/>
        </w:rPr>
      </w:pPr>
      <w:r>
        <w:rPr>
          <w:szCs w:val="22"/>
        </w:rPr>
        <w:tab/>
      </w:r>
      <w:r>
        <w:rPr>
          <w:i/>
          <w:szCs w:val="22"/>
        </w:rPr>
        <w:t>(dále jen „objednatel“)</w:t>
      </w:r>
    </w:p>
    <w:p>
      <w:pPr>
        <w:pStyle w:val="Styl11bPed6b"/>
        <w:tabs>
          <w:tab w:val="clear" w:pos="720"/>
          <w:tab w:val="left" w:pos="709" w:leader="none"/>
        </w:tabs>
        <w:spacing w:before="0" w:after="0"/>
        <w:rPr>
          <w:i/>
          <w:i/>
          <w:szCs w:val="22"/>
        </w:rPr>
      </w:pPr>
      <w:r>
        <w:rPr>
          <w:i/>
          <w:szCs w:val="22"/>
        </w:rPr>
      </w:r>
    </w:p>
    <w:p>
      <w:pPr>
        <w:pStyle w:val="Styl11bPed6b"/>
        <w:tabs>
          <w:tab w:val="clear" w:pos="720"/>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clear" w:pos="720"/>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clear" w:pos="720"/>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clear" w:pos="720"/>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clear" w:pos="720"/>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clear" w:pos="720"/>
          <w:tab w:val="left" w:pos="709" w:leader="none"/>
        </w:tabs>
        <w:jc w:val="both"/>
        <w:rPr>
          <w:sz w:val="22"/>
          <w:szCs w:val="22"/>
        </w:rPr>
      </w:pPr>
      <w:r>
        <w:rPr>
          <w:sz w:val="22"/>
          <w:szCs w:val="22"/>
        </w:rPr>
        <w:tab/>
        <w:t>Dále mohou jednat osoby zplnomocněné.</w:t>
      </w:r>
    </w:p>
    <w:p>
      <w:pPr>
        <w:pStyle w:val="Normal"/>
        <w:tabs>
          <w:tab w:val="clear" w:pos="720"/>
          <w:tab w:val="left" w:pos="709" w:leader="none"/>
        </w:tabs>
        <w:jc w:val="both"/>
        <w:rPr>
          <w:sz w:val="22"/>
          <w:szCs w:val="22"/>
        </w:rPr>
      </w:pPr>
      <w:r>
        <w:rPr>
          <w:sz w:val="22"/>
          <w:szCs w:val="22"/>
        </w:rPr>
        <w:tab/>
        <w:t xml:space="preserve">IČ: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č.ú.: </w:t>
      </w:r>
      <w:r>
        <w:rPr>
          <w:sz w:val="22"/>
          <w:szCs w:val="22"/>
          <w:highlight w:val="yellow"/>
        </w:rPr>
        <w:t>…………………../….</w:t>
      </w:r>
    </w:p>
    <w:p>
      <w:pPr>
        <w:pStyle w:val="Normal"/>
        <w:tabs>
          <w:tab w:val="clear" w:pos="720"/>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clear" w:pos="720"/>
          <w:tab w:val="left" w:pos="709" w:leader="none"/>
        </w:tabs>
        <w:jc w:val="both"/>
        <w:rPr>
          <w:b/>
          <w:b/>
          <w:i/>
          <w:i/>
          <w:sz w:val="22"/>
          <w:szCs w:val="22"/>
        </w:rPr>
      </w:pPr>
      <w:r>
        <w:rPr>
          <w:i/>
          <w:sz w:val="22"/>
          <w:szCs w:val="22"/>
        </w:rPr>
        <w:tab/>
        <w:t>(dále jen „koordinátor“)</w:t>
      </w:r>
    </w:p>
    <w:p>
      <w:pPr>
        <w:pStyle w:val="Normal"/>
        <w:tabs>
          <w:tab w:val="clear" w:pos="720"/>
          <w:tab w:val="left" w:pos="709" w:leader="none"/>
        </w:tabs>
        <w:jc w:val="both"/>
        <w:rPr>
          <w:b/>
          <w:b/>
          <w:i/>
          <w:i/>
          <w:sz w:val="22"/>
          <w:szCs w:val="22"/>
        </w:rPr>
      </w:pPr>
      <w:r>
        <w:rPr>
          <w:b/>
          <w:i/>
          <w:sz w:val="22"/>
          <w:szCs w:val="22"/>
        </w:rPr>
      </w:r>
    </w:p>
    <w:p>
      <w:pPr>
        <w:pStyle w:val="Normal"/>
        <w:tabs>
          <w:tab w:val="clear" w:pos="720"/>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clear" w:pos="720"/>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clear" w:pos="720"/>
          <w:tab w:val="left" w:pos="709" w:leader="none"/>
        </w:tabs>
        <w:jc w:val="both"/>
        <w:rPr>
          <w:sz w:val="22"/>
          <w:szCs w:val="22"/>
        </w:rPr>
      </w:pPr>
      <w:r>
        <w:rPr>
          <w:sz w:val="22"/>
          <w:szCs w:val="22"/>
        </w:rPr>
        <w:tab/>
        <w:t xml:space="preserve">IČ: </w:t>
      </w:r>
      <w:r>
        <w:rPr>
          <w:sz w:val="22"/>
          <w:szCs w:val="22"/>
          <w:highlight w:val="yellow"/>
        </w:rPr>
        <w:t>………………….</w:t>
      </w:r>
    </w:p>
    <w:p>
      <w:pPr>
        <w:pStyle w:val="Normal"/>
        <w:tabs>
          <w:tab w:val="clear" w:pos="720"/>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clear" w:pos="720"/>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č.ú.: </w:t>
      </w:r>
      <w:r>
        <w:rPr>
          <w:sz w:val="22"/>
          <w:szCs w:val="22"/>
          <w:highlight w:val="yellow"/>
        </w:rPr>
        <w:t>………………./……</w:t>
      </w:r>
    </w:p>
    <w:p>
      <w:pPr>
        <w:pStyle w:val="Normal"/>
        <w:tabs>
          <w:tab w:val="clear" w:pos="720"/>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clear" w:pos="720"/>
          <w:tab w:val="left" w:pos="709" w:leader="none"/>
        </w:tabs>
        <w:spacing w:before="0" w:after="0"/>
        <w:rPr>
          <w:i/>
          <w:i/>
          <w:szCs w:val="22"/>
        </w:rPr>
      </w:pPr>
      <w:r>
        <w:rPr>
          <w:szCs w:val="22"/>
        </w:rPr>
        <w:tab/>
      </w:r>
      <w:r>
        <w:rPr>
          <w:i/>
          <w:szCs w:val="22"/>
        </w:rPr>
        <w:t>(dále jen „koordinátor“)</w:t>
      </w:r>
    </w:p>
    <w:p>
      <w:pPr>
        <w:pStyle w:val="Normal"/>
        <w:widowControl w:val="false"/>
        <w:tabs>
          <w:tab w:val="clear" w:pos="720"/>
          <w:tab w:val="left" w:pos="709" w:leader="none"/>
          <w:tab w:val="left" w:pos="4536" w:leader="none"/>
        </w:tabs>
        <w:rPr>
          <w:i/>
          <w:i/>
          <w:sz w:val="22"/>
          <w:szCs w:val="22"/>
        </w:rPr>
      </w:pPr>
      <w:r>
        <w:rPr>
          <w:i/>
          <w:sz w:val="22"/>
          <w:szCs w:val="22"/>
        </w:rPr>
      </w:r>
    </w:p>
    <w:p>
      <w:pPr>
        <w:pStyle w:val="Normal"/>
        <w:widowControl w:val="false"/>
        <w:tabs>
          <w:tab w:val="clear" w:pos="720"/>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clear" w:pos="720"/>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w:t>
      </w:r>
    </w:p>
    <w:p>
      <w:pPr>
        <w:pStyle w:val="Normal"/>
        <w:rPr>
          <w:b/>
          <w:b/>
          <w:sz w:val="22"/>
          <w:szCs w:val="22"/>
        </w:rPr>
      </w:pPr>
      <w:r>
        <w:rPr>
          <w:b/>
          <w:sz w:val="22"/>
          <w:szCs w:val="22"/>
        </w:rPr>
      </w:r>
    </w:p>
    <w:p>
      <w:pPr>
        <w:pStyle w:val="Normal"/>
        <w:widowControl w:val="false"/>
        <w:tabs>
          <w:tab w:val="clear" w:pos="720"/>
          <w:tab w:val="left" w:pos="709" w:leader="none"/>
          <w:tab w:val="left" w:pos="4536" w:leader="none"/>
        </w:tabs>
        <w:rPr>
          <w:sz w:val="22"/>
          <w:szCs w:val="22"/>
        </w:rPr>
      </w:pPr>
      <w:r>
        <w:rPr>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4"/>
        </w:numPr>
        <w:tabs>
          <w:tab w:val="clear" w:pos="720"/>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cs-CZ" w:bidi="ar-SA"/>
        </w:rPr>
        <w:t>Zru</w:t>
      </w:r>
      <w:r>
        <w:rPr>
          <w:rFonts w:eastAsia="Arial" w:cs="Arial"/>
          <w:b/>
          <w:bCs/>
          <w:i w:val="false"/>
          <w:spacing w:val="-4"/>
          <w:sz w:val="22"/>
          <w:szCs w:val="22"/>
        </w:rPr>
        <w:t xml:space="preserve">šení Horního návesního rybníka v Maršovicích </w:t>
      </w:r>
      <w:r>
        <w:rPr>
          <w:rFonts w:eastAsia="Arial" w:cs="Arial"/>
          <w:b/>
          <w:bCs/>
          <w:i w:val="false"/>
          <w:color w:val="auto"/>
          <w:spacing w:val="-4"/>
          <w:sz w:val="22"/>
          <w:szCs w:val="22"/>
        </w:rPr>
        <w:t>“</w:t>
      </w:r>
      <w:r>
        <w:rPr>
          <w:sz w:val="22"/>
          <w:szCs w:val="22"/>
        </w:rPr>
        <w:t>(dále jen „stavba“), kterou objednatel realizuje</w:t>
      </w:r>
      <w:r>
        <w:rPr>
          <w:b/>
          <w:sz w:val="22"/>
          <w:szCs w:val="22"/>
        </w:rPr>
        <w:t xml:space="preserve"> </w:t>
      </w:r>
      <w:r>
        <w:rPr>
          <w:sz w:val="22"/>
          <w:szCs w:val="22"/>
        </w:rPr>
        <w:t>podle projektov</w:t>
      </w:r>
      <w:r>
        <w:rPr>
          <w:rFonts w:eastAsia="Times New Roman" w:cs="Times New Roman"/>
          <w:color w:val="auto"/>
          <w:kern w:val="0"/>
          <w:sz w:val="22"/>
          <w:szCs w:val="22"/>
          <w:lang w:val="cs-CZ" w:eastAsia="zh-CN" w:bidi="ar-SA"/>
        </w:rPr>
        <w:t xml:space="preserve">é dokumentace </w:t>
      </w:r>
      <w:r>
        <w:rPr>
          <w:sz w:val="22"/>
          <w:szCs w:val="22"/>
        </w:rPr>
        <w:t xml:space="preserve">pro provádění stavby </w:t>
      </w:r>
      <w:r>
        <w:rPr>
          <w:rFonts w:cs="Arial"/>
          <w:color w:val="auto"/>
          <w:sz w:val="22"/>
          <w:szCs w:val="22"/>
        </w:rPr>
        <w:t xml:space="preserve">„Zrušení Horního návesního rybníka Maršovicích“, zpracovaná Ing. Miroslavem Skryjou, Vejmluvova 401/82, Žďár nad Sázavou 2, v 09/2023, včetně dokladové části (dále také jen „projektová dokumentace“ nebo „PD“) </w:t>
      </w:r>
      <w:r>
        <w:rPr>
          <w:rFonts w:cs="Arial"/>
          <w:b/>
          <w:color w:val="auto"/>
          <w:sz w:val="22"/>
          <w:szCs w:val="22"/>
        </w:rPr>
        <w:t xml:space="preserve"> </w:t>
      </w:r>
      <w:r>
        <w:rPr>
          <w:color w:val="auto"/>
          <w:sz w:val="22"/>
          <w:szCs w:val="22"/>
        </w:rPr>
        <w:t xml:space="preserve">. </w:t>
      </w:r>
    </w:p>
    <w:p>
      <w:pPr>
        <w:pStyle w:val="Normal"/>
        <w:numPr>
          <w:ilvl w:val="0"/>
          <w:numId w:val="0"/>
        </w:numPr>
        <w:tabs>
          <w:tab w:val="clear" w:pos="720"/>
          <w:tab w:val="left" w:pos="360" w:leader="none"/>
        </w:tabs>
        <w:ind w:left="720" w:hanging="0"/>
        <w:jc w:val="both"/>
        <w:rPr>
          <w:rFonts w:cs="Arial"/>
          <w:color w:val="auto"/>
          <w:sz w:val="22"/>
          <w:szCs w:val="22"/>
        </w:rPr>
      </w:pPr>
      <w:r>
        <w:rPr>
          <w:rFonts w:cs="Arial"/>
          <w:color w:val="auto"/>
          <w:sz w:val="22"/>
          <w:szCs w:val="22"/>
        </w:rPr>
      </w:r>
    </w:p>
    <w:p>
      <w:pPr>
        <w:pStyle w:val="Normal"/>
        <w:numPr>
          <w:ilvl w:val="0"/>
          <w:numId w:val="0"/>
        </w:numPr>
        <w:tabs>
          <w:tab w:val="clear" w:pos="720"/>
          <w:tab w:val="left" w:pos="360" w:leader="none"/>
        </w:tabs>
        <w:ind w:left="720" w:hanging="0"/>
        <w:jc w:val="both"/>
        <w:rPr>
          <w:rFonts w:cs="Arial"/>
          <w:color w:val="auto"/>
          <w:sz w:val="22"/>
          <w:szCs w:val="22"/>
        </w:rPr>
      </w:pPr>
      <w:r>
        <w:rPr>
          <w:rFonts w:cs="Arial"/>
          <w:color w:val="auto"/>
          <w:sz w:val="22"/>
          <w:szCs w:val="22"/>
        </w:rPr>
      </w:r>
    </w:p>
    <w:p>
      <w:pPr>
        <w:pStyle w:val="Normal"/>
        <w:tabs>
          <w:tab w:val="clear" w:pos="720"/>
          <w:tab w:val="left" w:pos="360" w:leader="none"/>
        </w:tabs>
        <w:ind w:left="360" w:hanging="0"/>
        <w:jc w:val="both"/>
        <w:rPr>
          <w:sz w:val="22"/>
          <w:szCs w:val="22"/>
        </w:rPr>
      </w:pPr>
      <w:r>
        <w:rPr>
          <w:sz w:val="22"/>
          <w:szCs w:val="22"/>
        </w:rPr>
      </w:r>
    </w:p>
    <w:p>
      <w:pPr>
        <w:pStyle w:val="Normal"/>
        <w:numPr>
          <w:ilvl w:val="0"/>
          <w:numId w:val="4"/>
        </w:numPr>
        <w:tabs>
          <w:tab w:val="clear" w:pos="720"/>
          <w:tab w:val="left" w:pos="360" w:leader="none"/>
        </w:tabs>
        <w:jc w:val="both"/>
        <w:rPr>
          <w:sz w:val="22"/>
          <w:szCs w:val="22"/>
        </w:rPr>
      </w:pPr>
      <w:r>
        <w:rPr>
          <w:sz w:val="22"/>
          <w:szCs w:val="22"/>
        </w:rPr>
        <w:t>Výkon činnosti koordinátora BOZP zahrnuje zejména tyto činnosti:</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20"/>
          <w:tab w:val="left" w:pos="360" w:leader="none"/>
        </w:tabs>
        <w:ind w:left="360" w:hanging="0"/>
        <w:jc w:val="both"/>
        <w:rPr>
          <w:sz w:val="22"/>
          <w:szCs w:val="22"/>
        </w:rPr>
      </w:pPr>
      <w:r>
        <w:rPr>
          <w:sz w:val="22"/>
          <w:szCs w:val="22"/>
        </w:rPr>
      </w:r>
    </w:p>
    <w:p>
      <w:pPr>
        <w:pStyle w:val="Normal"/>
        <w:numPr>
          <w:ilvl w:val="0"/>
          <w:numId w:val="4"/>
        </w:numPr>
        <w:tabs>
          <w:tab w:val="clear" w:pos="720"/>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4"/>
        </w:numPr>
        <w:tabs>
          <w:tab w:val="clear" w:pos="720"/>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stavby:</w:t>
      </w:r>
    </w:p>
    <w:p>
      <w:pPr>
        <w:pStyle w:val="Seznam"/>
        <w:numPr>
          <w:ilvl w:val="1"/>
          <w:numId w:val="6"/>
        </w:numPr>
        <w:spacing w:before="80" w:after="0"/>
        <w:rPr>
          <w:sz w:val="22"/>
          <w:szCs w:val="22"/>
        </w:rPr>
      </w:pPr>
      <w:r>
        <w:rPr>
          <w:sz w:val="22"/>
          <w:szCs w:val="22"/>
        </w:rPr>
        <w:t>zahájení stavby:</w:t>
        <w:tab/>
        <w:tab/>
        <w:t xml:space="preserve"> 15.04.2024</w:t>
      </w:r>
    </w:p>
    <w:p>
      <w:pPr>
        <w:pStyle w:val="Seznam"/>
        <w:numPr>
          <w:ilvl w:val="0"/>
          <w:numId w:val="0"/>
        </w:numPr>
        <w:spacing w:before="80" w:after="0"/>
        <w:ind w:left="709" w:hanging="0"/>
        <w:rPr/>
      </w:pPr>
      <w:r>
        <w:rPr>
          <w:sz w:val="22"/>
          <w:szCs w:val="22"/>
        </w:rPr>
        <w:t xml:space="preserve">       </w:t>
      </w:r>
      <w:r>
        <w:rPr>
          <w:sz w:val="22"/>
          <w:szCs w:val="22"/>
        </w:rPr>
        <w:t xml:space="preserve">b.    dokončení stavby: </w:t>
        <w:tab/>
        <w:t xml:space="preserve"> 15</w:t>
      </w:r>
      <w:r>
        <w:rPr>
          <w:rFonts w:eastAsia="Times New Roman" w:cs="Times New Roman"/>
          <w:color w:val="auto"/>
          <w:kern w:val="0"/>
          <w:sz w:val="22"/>
          <w:szCs w:val="22"/>
          <w:lang w:val="cs-CZ" w:eastAsia="cs-CZ" w:bidi="ar-SA"/>
        </w:rPr>
        <w:t>.10.2024</w:t>
      </w:r>
    </w:p>
    <w:p>
      <w:pPr>
        <w:pStyle w:val="Tlotextu"/>
        <w:numPr>
          <w:ilvl w:val="0"/>
          <w:numId w:val="0"/>
        </w:numPr>
        <w:tabs>
          <w:tab w:val="clear" w:pos="720"/>
          <w:tab w:val="left" w:pos="1440" w:leader="none"/>
          <w:tab w:val="left" w:pos="3544" w:leader="none"/>
        </w:tabs>
        <w:ind w:left="0" w:hanging="0"/>
        <w:jc w:val="both"/>
        <w:rPr/>
      </w:pPr>
      <w:r>
        <w:rPr>
          <w:rFonts w:eastAsia="Times New Roman" w:cs="Arial"/>
          <w:b w:val="false"/>
          <w:bCs w:val="false"/>
          <w:color w:val="auto"/>
          <w:kern w:val="0"/>
          <w:sz w:val="22"/>
          <w:szCs w:val="22"/>
          <w:lang w:val="cs-CZ" w:eastAsia="cs-CZ" w:bidi="ar-SA"/>
        </w:rPr>
        <w:t xml:space="preserve">              </w:t>
      </w:r>
      <w:r>
        <w:rPr>
          <w:rFonts w:eastAsia="Times New Roman" w:cs="Arial"/>
          <w:b w:val="false"/>
          <w:bCs w:val="false"/>
          <w:color w:val="auto"/>
          <w:kern w:val="0"/>
          <w:sz w:val="22"/>
          <w:szCs w:val="22"/>
          <w:lang w:val="cs-CZ" w:eastAsia="cs-CZ" w:bidi="ar-SA"/>
        </w:rPr>
        <w:t>Doba vlastní realizace nepřesáhne 2 měsíce od data zahájení prací.</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1"/>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hanging="0"/>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1"/>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5"/>
        </w:numPr>
        <w:jc w:val="both"/>
        <w:rPr/>
      </w:pPr>
      <w:r>
        <w:rPr>
          <w:sz w:val="22"/>
          <w:szCs w:val="22"/>
        </w:rPr>
        <w:t>Tato smlouva je uzavřena v souladu s usnesením Rady města Nové Město na Moravě přijatým na její 10. schůzi dne 15.5.2023 pod bodem 31/10/RM/20</w:t>
      </w:r>
      <w:r>
        <w:rPr>
          <w:sz w:val="22"/>
          <w:szCs w:val="22"/>
          <w:lang w:eastAsia="zh-CN"/>
        </w:rPr>
        <w:t>23.</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20"/>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20"/>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20"/>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20"/>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20"/>
          <w:tab w:val="left" w:pos="4500" w:leader="none"/>
        </w:tabs>
        <w:jc w:val="both"/>
        <w:rPr>
          <w:bCs/>
          <w:sz w:val="22"/>
          <w:szCs w:val="22"/>
        </w:rPr>
      </w:pPr>
      <w:r>
        <w:rPr>
          <w:bCs/>
          <w:sz w:val="22"/>
          <w:szCs w:val="22"/>
        </w:rPr>
      </w:r>
    </w:p>
    <w:p>
      <w:pPr>
        <w:pStyle w:val="Tlotextu"/>
        <w:tabs>
          <w:tab w:val="clear" w:pos="720"/>
          <w:tab w:val="left" w:pos="4500" w:leader="none"/>
        </w:tabs>
        <w:rPr>
          <w:color w:val="auto"/>
          <w:sz w:val="22"/>
          <w:szCs w:val="22"/>
        </w:rPr>
      </w:pPr>
      <w:r>
        <w:rPr>
          <w:color w:val="auto"/>
          <w:sz w:val="22"/>
          <w:szCs w:val="22"/>
        </w:rPr>
        <w:tab/>
      </w:r>
    </w:p>
    <w:p>
      <w:pPr>
        <w:pStyle w:val="Tlotextu"/>
        <w:tabs>
          <w:tab w:val="clear" w:pos="720"/>
          <w:tab w:val="left" w:pos="4500" w:leader="none"/>
        </w:tabs>
        <w:rPr>
          <w:color w:val="auto"/>
          <w:sz w:val="22"/>
          <w:szCs w:val="22"/>
        </w:rPr>
      </w:pPr>
      <w:r>
        <w:rPr>
          <w:color w:val="auto"/>
          <w:sz w:val="22"/>
          <w:szCs w:val="22"/>
        </w:rPr>
        <w:t>Objednatel:</w:t>
        <w:tab/>
        <w:t>Koordinátor:</w:t>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20"/>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20"/>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Book Antiqu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2392344"/>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6">
              <wp:simplePos x="0" y="0"/>
              <wp:positionH relativeFrom="margin">
                <wp:align>center</wp:align>
              </wp:positionH>
              <wp:positionV relativeFrom="paragraph">
                <wp:posOffset>635</wp:posOffset>
              </wp:positionV>
              <wp:extent cx="160655" cy="181610"/>
              <wp:effectExtent l="0" t="0" r="0" b="0"/>
              <wp:wrapSquare wrapText="largest"/>
              <wp:docPr id="1" name="Rámec1"/>
              <a:graphic xmlns:a="http://schemas.openxmlformats.org/drawingml/2006/main">
                <a:graphicData uri="http://schemas.microsoft.com/office/word/2010/wordprocessingShape">
                  <wps:wsp>
                    <wps:cNvSpPr/>
                    <wps:spPr>
                      <a:xfrm>
                        <a:off x="0" y="0"/>
                        <a:ext cx="160200" cy="181080"/>
                      </a:xfrm>
                      <a:prstGeom prst="rect">
                        <a:avLst/>
                      </a:prstGeom>
                      <a:noFill/>
                      <a:ln w="0">
                        <a:noFill/>
                      </a:ln>
                    </wps:spPr>
                    <wps:style>
                      <a:lnRef idx="0"/>
                      <a:fillRef idx="0"/>
                      <a:effectRef idx="0"/>
                      <a:fontRef idx="minor"/>
                    </wps:style>
                    <wps:bodyPr/>
                  </wps:wsp>
                </a:graphicData>
              </a:graphic>
            </wp:anchor>
          </w:drawing>
        </mc:Choice>
        <mc:Fallback>
          <w:pict>
            <v:rect id="shape_0" ID="Rámec1" path="m0,0l-2147483645,0l-2147483645,-2147483646l0,-2147483646xe" stroked="f" o:allowincell="f" style="position:absolute;margin-left:220.5pt;margin-top:0.05pt;width:12.55pt;height:14.2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rybník Maršovice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r>
      <w:rPr>
        <w:rFonts w:eastAsia="Arial" w:cs="Arial"/>
        <w:b w:val="false"/>
        <w:bCs w:val="false"/>
        <w:color w:val="auto"/>
        <w:spacing w:val="-4"/>
        <w:sz w:val="20"/>
        <w:szCs w:val="20"/>
      </w:rPr>
      <w:t xml:space="preserve">                        </w:t>
    </w:r>
    <w:r>
      <w:rPr>
        <w:rFonts w:eastAsia="Arial" w:cs="Arial"/>
        <w:b w:val="false"/>
        <w:bCs w:val="false"/>
        <w:color w:val="auto"/>
        <w:spacing w:val="-4"/>
        <w:kern w:val="0"/>
        <w:sz w:val="20"/>
        <w:szCs w:val="20"/>
        <w:lang w:val="cs-CZ" w:eastAsia="zh-CN" w:bidi="ar-SA"/>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jc w:val="center"/>
      <w:outlineLvl w:val="0"/>
    </w:pPr>
    <w:rPr>
      <w:rFonts w:ascii="Arial" w:hAnsi="Arial" w:cs="Arial"/>
      <w:b/>
      <w:bCs/>
    </w:rPr>
  </w:style>
  <w:style w:type="paragraph" w:styleId="Nadpis2">
    <w:name w:val="Heading 2"/>
    <w:basedOn w:val="Normal"/>
    <w:next w:val="Normal"/>
    <w:qFormat/>
    <w:rsid w:val="00af68bb"/>
    <w:pPr>
      <w:keepNext w:val="true"/>
      <w:outlineLvl w:val="1"/>
    </w:pPr>
    <w:rPr>
      <w:i/>
      <w:szCs w:val="20"/>
    </w:rPr>
  </w:style>
  <w:style w:type="paragraph" w:styleId="Nadpis3">
    <w:name w:val="Heading 3"/>
    <w:basedOn w:val="Normal"/>
    <w:next w:val="Normal"/>
    <w:qFormat/>
    <w:rsid w:val="00af68bb"/>
    <w:pPr>
      <w:keepNext w:val="true"/>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tabs>
        <w:tab w:val="clear" w:pos="720"/>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20"/>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20"/>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20"/>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20"/>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20"/>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paragraph" w:styleId="DocumentMap">
    <w:name w:val="Document Map"/>
    <w:basedOn w:val="Normal"/>
    <w:qFormat/>
    <w:pPr>
      <w:shd w:fill="000080"/>
    </w:pPr>
    <w:rPr>
      <w:rFonts w:ascii="Tahoma" w:hAnsi="Tahoma"/>
    </w:rPr>
  </w:style>
  <w:style w:type="paragraph" w:styleId="Odrky">
    <w:name w:val="odr‡ěky"/>
    <w:basedOn w:val="Normal"/>
    <w:qFormat/>
    <w:pPr>
      <w:tabs>
        <w:tab w:val="clear" w:pos="720"/>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BodyText3">
    <w:name w:val="Body Text 3"/>
    <w:qFormat/>
    <w:pPr>
      <w:widowControl/>
      <w:suppressAutoHyphens w:val="true"/>
      <w:bidi w:val="0"/>
      <w:spacing w:before="0" w:after="120"/>
      <w:ind w:left="283" w:hanging="0"/>
      <w:jc w:val="left"/>
    </w:pPr>
    <w:rPr>
      <w:rFonts w:ascii="Times New Roman" w:hAnsi="Times New Roman" w:eastAsia="Times New Roman" w:cs="Times New Roman"/>
      <w:color w:val="auto"/>
      <w:kern w:val="0"/>
      <w:sz w:val="20"/>
      <w:szCs w:val="20"/>
      <w:lang w:val="cs-CZ" w:eastAsia="cs-CZ" w:bidi="ar-SA"/>
    </w:rPr>
  </w:style>
  <w:style w:type="paragraph" w:styleId="ListBullet3">
    <w:name w:val="List Bullet 3"/>
    <w:basedOn w:val="Normal"/>
    <w:qFormat/>
    <w:pPr>
      <w:ind w:left="566" w:hanging="283"/>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Application>LibreOffice/7.2.7.2$Windows_X86_64 LibreOffice_project/8d71d29d553c0f7dcbfa38fbfda25ee34cce99a2</Application>
  <AppVersion>15.0000</AppVersion>
  <Pages>9</Pages>
  <Words>1840</Words>
  <Characters>10819</Characters>
  <CharactersWithSpaces>12774</CharactersWithSpaces>
  <Paragraphs>102</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Vrbka</dc:creator>
  <dc:description/>
  <dc:language>cs-CZ</dc:language>
  <cp:lastModifiedBy/>
  <dcterms:modified xsi:type="dcterms:W3CDTF">2024-01-11T13:15:24Z</dcterms:modified>
  <cp:revision>73</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