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Miloš Hemza,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pPr>
      <w:r>
        <w:rPr>
          <w:sz w:val="22"/>
          <w:szCs w:val="22"/>
        </w:rPr>
        <w:t>2.</w:t>
      </w:r>
      <w:r>
        <w:rPr>
          <w:b/>
          <w:sz w:val="22"/>
          <w:szCs w:val="22"/>
        </w:rPr>
        <w:t xml:space="preserve"> </w:t>
        <w:tab/>
        <w:t xml:space="preserve">PREPO – TEAM s.r.o. </w:t>
      </w:r>
    </w:p>
    <w:p>
      <w:pPr>
        <w:pStyle w:val="Normal"/>
        <w:tabs>
          <w:tab w:val="left" w:pos="709" w:leader="none"/>
        </w:tabs>
        <w:jc w:val="both"/>
        <w:rPr/>
      </w:pPr>
      <w:r>
        <w:rPr>
          <w:sz w:val="22"/>
          <w:szCs w:val="22"/>
        </w:rPr>
        <w:tab/>
        <w:t>se sídlem č.p. 30, 538 21 Liboměřice</w:t>
      </w:r>
    </w:p>
    <w:p>
      <w:pPr>
        <w:pStyle w:val="Normal"/>
        <w:tabs>
          <w:tab w:val="left" w:pos="709" w:leader="none"/>
        </w:tabs>
        <w:jc w:val="both"/>
        <w:rPr/>
      </w:pPr>
      <w:r>
        <w:rPr>
          <w:sz w:val="22"/>
          <w:szCs w:val="22"/>
        </w:rPr>
        <w:tab/>
        <w:t xml:space="preserve">zastoupená </w:t>
      </w:r>
      <w:r>
        <w:rPr>
          <w:b/>
          <w:sz w:val="22"/>
          <w:szCs w:val="22"/>
        </w:rPr>
        <w:t>Jaroslavem Němečkem</w:t>
      </w:r>
      <w:r>
        <w:rPr>
          <w:sz w:val="22"/>
          <w:szCs w:val="22"/>
        </w:rPr>
        <w:t>, jednatelem</w:t>
      </w:r>
    </w:p>
    <w:p>
      <w:pPr>
        <w:pStyle w:val="Normal"/>
        <w:tabs>
          <w:tab w:val="left" w:pos="709" w:leader="none"/>
        </w:tabs>
        <w:jc w:val="both"/>
        <w:rPr/>
      </w:pPr>
      <w:r>
        <w:rPr>
          <w:sz w:val="22"/>
          <w:szCs w:val="22"/>
        </w:rPr>
        <w:tab/>
        <w:t>ve věcech technických je oprávněn jednat: Jaroslav Němeček, jednatel</w:t>
      </w:r>
    </w:p>
    <w:p>
      <w:pPr>
        <w:pStyle w:val="Normal"/>
        <w:tabs>
          <w:tab w:val="left" w:pos="709" w:leader="none"/>
        </w:tabs>
        <w:jc w:val="both"/>
        <w:rPr/>
      </w:pPr>
      <w:r>
        <w:rPr>
          <w:sz w:val="22"/>
          <w:szCs w:val="22"/>
        </w:rPr>
        <w:tab/>
        <w:t>Dále mohou jednat osoby zplnomocněné.</w:t>
      </w:r>
    </w:p>
    <w:p>
      <w:pPr>
        <w:pStyle w:val="Normal"/>
        <w:tabs>
          <w:tab w:val="left" w:pos="709" w:leader="none"/>
        </w:tabs>
        <w:jc w:val="both"/>
        <w:rPr/>
      </w:pPr>
      <w:r>
        <w:rPr>
          <w:sz w:val="22"/>
          <w:szCs w:val="22"/>
        </w:rPr>
        <w:tab/>
        <w:t>IČ: 25954580</w:t>
      </w:r>
    </w:p>
    <w:p>
      <w:pPr>
        <w:pStyle w:val="Normal"/>
        <w:tabs>
          <w:tab w:val="left" w:pos="709" w:leader="none"/>
        </w:tabs>
        <w:jc w:val="both"/>
        <w:rPr/>
      </w:pPr>
      <w:r>
        <w:rPr>
          <w:sz w:val="22"/>
          <w:szCs w:val="22"/>
        </w:rPr>
        <w:tab/>
        <w:t>DIČ: CZ25954580.</w:t>
      </w:r>
    </w:p>
    <w:p>
      <w:pPr>
        <w:pStyle w:val="Normal"/>
        <w:tabs>
          <w:tab w:val="left" w:pos="709" w:leader="none"/>
        </w:tabs>
        <w:jc w:val="both"/>
        <w:rPr/>
      </w:pPr>
      <w:r>
        <w:rPr>
          <w:sz w:val="22"/>
          <w:szCs w:val="22"/>
        </w:rPr>
        <w:tab/>
        <w:t>bankovní spojení: Komerční banka, a.s.</w:t>
      </w:r>
    </w:p>
    <w:p>
      <w:pPr>
        <w:pStyle w:val="Normal"/>
        <w:tabs>
          <w:tab w:val="left" w:pos="709" w:leader="none"/>
        </w:tabs>
        <w:jc w:val="both"/>
        <w:rPr/>
      </w:pPr>
      <w:r>
        <w:rPr>
          <w:sz w:val="22"/>
          <w:szCs w:val="22"/>
        </w:rPr>
        <w:tab/>
        <w:t>č.ú.: 43-2872990207/0100</w:t>
      </w:r>
    </w:p>
    <w:p>
      <w:pPr>
        <w:pStyle w:val="Normal"/>
        <w:tabs>
          <w:tab w:val="left" w:pos="709" w:leader="none"/>
        </w:tabs>
        <w:jc w:val="both"/>
        <w:rPr/>
      </w:pPr>
      <w:r>
        <w:rPr>
          <w:sz w:val="22"/>
          <w:szCs w:val="22"/>
        </w:rPr>
        <w:t xml:space="preserve">       </w:t>
      </w:r>
      <w:r>
        <w:rPr>
          <w:sz w:val="22"/>
          <w:szCs w:val="22"/>
        </w:rPr>
        <w:tab/>
        <w:t>zapsaná v obchodním rejstříku vedeném Krajským soudem v Hradci Králové, spis.zn. C17423</w:t>
      </w:r>
    </w:p>
    <w:p>
      <w:pPr>
        <w:pStyle w:val="Styl11bPed6b"/>
        <w:tabs>
          <w:tab w:val="left" w:pos="709" w:leader="none"/>
        </w:tabs>
        <w:spacing w:before="0" w:after="0"/>
        <w:jc w:val="both"/>
        <w:rPr/>
      </w:pPr>
      <w:r>
        <w:rPr>
          <w:i/>
          <w:sz w:val="22"/>
          <w:szCs w:val="22"/>
        </w:rPr>
        <w:tab/>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pPr>
      <w:r>
        <w:rPr>
          <w:b/>
          <w:sz w:val="44"/>
          <w:szCs w:val="44"/>
        </w:rPr>
        <w:t>SMLOUVU  O  DÍLO</w:t>
      </w:r>
      <w:r>
        <w:rPr>
          <w:b/>
          <w:sz w:val="22"/>
          <w:szCs w:val="22"/>
        </w:rPr>
        <w:t xml:space="preserve"> </w:t>
      </w:r>
      <w:r>
        <w:rPr>
          <w:b/>
          <w:sz w:val="32"/>
          <w:szCs w:val="32"/>
        </w:rPr>
        <w:t>č. 220204</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„Rekonstrukce ul. Smetanova, Nové Město na Moravě“ </w:t>
      </w:r>
      <w:r>
        <w:rPr>
          <w:sz w:val="22"/>
          <w:szCs w:val="22"/>
        </w:rPr>
        <w:t>(dále jen „stavba“), kterou objednatel realizuje</w:t>
      </w:r>
      <w:r>
        <w:rPr>
          <w:b/>
          <w:sz w:val="22"/>
          <w:szCs w:val="22"/>
        </w:rPr>
        <w:t xml:space="preserve"> </w:t>
      </w:r>
      <w:r>
        <w:rPr>
          <w:sz w:val="22"/>
          <w:szCs w:val="22"/>
        </w:rPr>
        <w:t>podle projektové dokumentace pro provádění stavby „Rekonstrukce ul. Smetanova, Nové Město na Moravě, úsek Drobného - Křičkova“ vypracované Ing. Tomášem Petrem, Nad Vápenicí 42, 592 42 Jimramov, v 10/2021 pod zak. č. 089 vč. její dokladové části.</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25.5.2022</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25.8.2022</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auto"/>
          <w:sz w:val="22"/>
          <w:szCs w:val="22"/>
        </w:rPr>
      </w:pPr>
      <w:r>
        <w:rPr>
          <w:color w:val="auto"/>
          <w:sz w:val="22"/>
          <w:szCs w:val="22"/>
        </w:rPr>
      </w:r>
    </w:p>
    <w:p>
      <w:pPr>
        <w:pStyle w:val="Tlotextu"/>
        <w:jc w:val="both"/>
        <w:rPr>
          <w:color w:val="auto"/>
          <w:sz w:val="22"/>
          <w:szCs w:val="22"/>
        </w:rPr>
      </w:pPr>
      <w:r>
        <w:rPr>
          <w:color w:val="auto"/>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rFonts w:eastAsia="Times New Roman" w:cs="Times New Roman"/>
          <w:b/>
          <w:bCs/>
          <w:color w:val="auto"/>
          <w:kern w:val="0"/>
          <w:sz w:val="22"/>
          <w:szCs w:val="22"/>
          <w:lang w:val="cs-CZ" w:eastAsia="zh-CN" w:bidi="ar-SA"/>
        </w:rPr>
        <w:t>9 900</w:t>
      </w:r>
      <w:r>
        <w:rPr>
          <w:b/>
          <w:bCs/>
          <w:sz w:val="22"/>
          <w:szCs w:val="22"/>
        </w:rPr>
        <w:t xml:space="preserve">,- Kč bez DPH.                         </w:t>
      </w:r>
    </w:p>
    <w:p>
      <w:pPr>
        <w:pStyle w:val="Normal"/>
        <w:numPr>
          <w:ilvl w:val="0"/>
          <w:numId w:val="0"/>
        </w:numPr>
        <w:ind w:left="720" w:hanging="0"/>
        <w:jc w:val="both"/>
        <w:rPr/>
      </w:pPr>
      <w:r>
        <w:rPr>
          <w:b/>
          <w:bCs/>
          <w:sz w:val="22"/>
          <w:szCs w:val="22"/>
        </w:rPr>
        <w:t xml:space="preserve"> </w:t>
      </w:r>
      <w:r>
        <w:rPr>
          <w:bCs/>
          <w:sz w:val="22"/>
          <w:szCs w:val="22"/>
        </w:rPr>
        <w:t>K této ceně bude připočteno DPH ve výši dle platných předpisů.</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Závěrečná ustanovení</w:t>
      </w:r>
    </w:p>
    <w:p>
      <w:pPr>
        <w:pStyle w:val="Normal"/>
        <w:jc w:val="center"/>
        <w:rPr>
          <w:b/>
          <w:b/>
          <w:bCs/>
          <w:sz w:val="22"/>
          <w:szCs w:val="22"/>
        </w:rPr>
      </w:pPr>
      <w:r>
        <w:rPr>
          <w:b/>
          <w:bCs/>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r>
        <w:rPr>
          <w:sz w:val="22"/>
          <w:szCs w:val="22"/>
        </w:rPr>
      </w:r>
    </w:p>
    <w:p>
      <w:pPr>
        <w:pStyle w:val="Normal"/>
        <w:ind w:left="720" w:hanging="0"/>
        <w:jc w:val="both"/>
        <w:rPr/>
      </w:pPr>
      <w:r>
        <w:rPr>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r>
        <w:rPr>
          <w:rFonts w:eastAsia="Times New Roman" w:cs="Times New Roman"/>
          <w:color w:val="auto"/>
          <w:kern w:val="0"/>
          <w:sz w:val="22"/>
          <w:szCs w:val="22"/>
          <w:lang w:val="cs-CZ" w:eastAsia="zh-CN" w:bidi="ar-SA"/>
        </w:rPr>
        <w:t>55.</w:t>
      </w:r>
      <w:r>
        <w:rPr>
          <w:sz w:val="22"/>
          <w:szCs w:val="22"/>
        </w:rPr>
        <w:t xml:space="preserve"> schůzi dne </w:t>
      </w:r>
      <w:r>
        <w:rPr>
          <w:rFonts w:eastAsia="Times New Roman" w:cs="Times New Roman"/>
          <w:color w:val="auto"/>
          <w:kern w:val="0"/>
          <w:sz w:val="22"/>
          <w:szCs w:val="22"/>
          <w:lang w:val="cs-CZ" w:eastAsia="zh-CN" w:bidi="ar-SA"/>
        </w:rPr>
        <w:t>11.6.2018</w:t>
      </w:r>
      <w:r>
        <w:rPr>
          <w:sz w:val="22"/>
          <w:szCs w:val="22"/>
        </w:rPr>
        <w:t xml:space="preserve"> pod bodem </w:t>
      </w:r>
      <w:r>
        <w:rPr>
          <w:rFonts w:eastAsia="Times New Roman" w:cs="Times New Roman"/>
          <w:color w:val="auto"/>
          <w:kern w:val="0"/>
          <w:sz w:val="22"/>
          <w:szCs w:val="22"/>
          <w:lang w:val="cs-CZ" w:eastAsia="zh-CN" w:bidi="ar-SA"/>
        </w:rPr>
        <w:t>38</w:t>
      </w:r>
      <w:r>
        <w:rPr>
          <w:sz w:val="22"/>
          <w:szCs w:val="22"/>
        </w:rPr>
        <w:t>/</w:t>
      </w:r>
      <w:r>
        <w:rPr>
          <w:rFonts w:eastAsia="Times New Roman" w:cs="Times New Roman"/>
          <w:color w:val="auto"/>
          <w:kern w:val="0"/>
          <w:sz w:val="22"/>
          <w:szCs w:val="22"/>
          <w:lang w:val="cs-CZ" w:eastAsia="zh-CN" w:bidi="ar-SA"/>
        </w:rPr>
        <w:t>55</w:t>
      </w:r>
      <w:r>
        <w:rPr>
          <w:sz w:val="22"/>
          <w:szCs w:val="22"/>
        </w:rPr>
        <w:t>/RM/20</w:t>
      </w:r>
      <w:r>
        <w:rPr>
          <w:rFonts w:eastAsia="Times New Roman" w:cs="Times New Roman"/>
          <w:color w:val="auto"/>
          <w:kern w:val="0"/>
          <w:sz w:val="22"/>
          <w:szCs w:val="22"/>
          <w:lang w:val="cs-CZ" w:eastAsia="zh-CN" w:bidi="ar-SA"/>
        </w:rPr>
        <w:t>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pPr>
      <w:r>
        <w:rPr>
          <w:bCs/>
          <w:sz w:val="22"/>
          <w:szCs w:val="22"/>
        </w:rPr>
        <w:t>V Novém Městě na Moravě</w:t>
        <w:tab/>
        <w:t>V Liboměřicích</w:t>
      </w:r>
    </w:p>
    <w:p>
      <w:pPr>
        <w:pStyle w:val="Normal"/>
        <w:tabs>
          <w:tab w:val="clear" w:pos="709"/>
          <w:tab w:val="left" w:pos="4500" w:leader="none"/>
        </w:tabs>
        <w:jc w:val="both"/>
        <w:rPr/>
      </w:pPr>
      <w:r>
        <w:rPr>
          <w:bCs/>
          <w:sz w:val="22"/>
          <w:szCs w:val="22"/>
        </w:rPr>
        <w:t xml:space="preserve">dne </w:t>
        <w:tab/>
        <w:t xml:space="preserve">dne </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pPr>
      <w:r>
        <w:rPr>
          <w:color w:val="auto"/>
          <w:sz w:val="22"/>
          <w:szCs w:val="22"/>
        </w:rPr>
        <w:tab/>
      </w:r>
    </w:p>
    <w:p>
      <w:pPr>
        <w:pStyle w:val="Tlotextu"/>
        <w:tabs>
          <w:tab w:val="clear" w:pos="709"/>
          <w:tab w:val="left" w:pos="4500" w:leader="none"/>
        </w:tabs>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pPr>
      <w:r>
        <w:rPr>
          <w:color w:val="auto"/>
          <w:sz w:val="22"/>
          <w:szCs w:val="22"/>
        </w:rPr>
        <w:tab/>
        <w:t>Michal Šmarda</w:t>
        <w:tab/>
        <w:t xml:space="preserve">           Jaroslav Němeček</w:t>
      </w:r>
    </w:p>
    <w:p>
      <w:pPr>
        <w:pStyle w:val="Tlotextu"/>
        <w:tabs>
          <w:tab w:val="clear" w:pos="709"/>
          <w:tab w:val="center" w:pos="1620" w:leader="none"/>
          <w:tab w:val="left" w:pos="4500" w:leader="none"/>
          <w:tab w:val="center" w:pos="6300" w:leader="none"/>
        </w:tabs>
        <w:jc w:val="both"/>
        <w:rPr/>
      </w:pPr>
      <w:r>
        <w:rPr>
          <w:bCs/>
          <w:color w:val="auto"/>
          <w:sz w:val="22"/>
          <w:szCs w:val="22"/>
        </w:rPr>
        <w:tab/>
        <w:t xml:space="preserve">starosta    </w:t>
        <w:tab/>
        <w:t xml:space="preserve">                  jednatel</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20832174"/>
    </w:sdtPr>
    <w:sdtContent>
      <w:p>
        <w:pPr>
          <w:pStyle w:val="Zpat"/>
          <w:jc w:val="center"/>
          <w:rPr/>
        </w:pPr>
        <w:r>
          <w:rPr/>
          <w:fldChar w:fldCharType="begin"/>
        </w:r>
        <w:r>
          <w:rPr/>
          <w:instrText> PAGE </w:instrText>
        </w:r>
        <w:r>
          <w:rPr/>
          <w:fldChar w:fldCharType="separate"/>
        </w:r>
        <w:r>
          <w:rPr/>
          <w:t>4</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pStyle w:val="Nadpis3"/>
      <w:numFmt w:val="none"/>
      <w:suff w:val="nothing"/>
      <w:lvlText w:val=""/>
      <w:lvlJc w:val="left"/>
      <w:pPr>
        <w:ind w:left="720" w:hanging="720"/>
      </w:pPr>
    </w:lvl>
    <w:lvl w:ilvl="3">
      <w:start w:val="1"/>
      <w:pStyle w:val="Nadpis4"/>
      <w:numFmt w:val="none"/>
      <w:suff w:val="nothing"/>
      <w:lvlText w:val=""/>
      <w:lvlJc w:val="left"/>
      <w:pPr>
        <w:ind w:left="864" w:hanging="864"/>
      </w:pPr>
    </w:lvl>
    <w:lvl w:ilvl="4">
      <w:start w:val="1"/>
      <w:pStyle w:val="Nadpis5"/>
      <w:numFmt w:val="none"/>
      <w:suff w:val="nothing"/>
      <w:lvlText w:val=""/>
      <w:lvlJc w:val="left"/>
      <w:pPr>
        <w:ind w:left="1008" w:hanging="1008"/>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revisionView w:insDel="0" w:formatting="0"/>
  <w:embedSystemFonts/>
  <w:defaultTabStop w:val="709"/>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7C047-2BAE-426A-86B9-1413ADE92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Application>LibreOffice/6.3.1.2$Windows_x86 LibreOffice_project/b79626edf0065ac373bd1df5c28bd630b4424273</Application>
  <Pages>5</Pages>
  <Words>1725</Words>
  <Characters>10135</Characters>
  <CharactersWithSpaces>11849</CharactersWithSpaces>
  <Paragraphs>93</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2022-02-08T10:44:36Z</cp:lastPrinted>
  <dcterms:modified xsi:type="dcterms:W3CDTF">2022-02-08T10:44:51Z</dcterms:modified>
  <cp:revision>35</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